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eastAsia="黑体"/>
          <w:b/>
          <w:sz w:val="72"/>
          <w:szCs w:val="72"/>
        </w:rPr>
      </w:pPr>
    </w:p>
    <w:p>
      <w:pPr>
        <w:spacing w:line="520" w:lineRule="exact"/>
        <w:jc w:val="center"/>
        <w:rPr>
          <w:rFonts w:ascii="黑体" w:eastAsia="黑体"/>
          <w:b/>
          <w:sz w:val="72"/>
          <w:szCs w:val="72"/>
        </w:rPr>
      </w:pPr>
    </w:p>
    <w:p>
      <w:pPr>
        <w:spacing w:line="520" w:lineRule="exact"/>
        <w:jc w:val="center"/>
        <w:rPr>
          <w:rFonts w:ascii="黑体" w:eastAsia="黑体"/>
          <w:b/>
          <w:sz w:val="48"/>
          <w:szCs w:val="48"/>
        </w:rPr>
      </w:pPr>
      <w:r>
        <w:rPr>
          <w:rFonts w:hint="eastAsia" w:ascii="黑体" w:eastAsia="黑体"/>
          <w:b/>
          <w:sz w:val="48"/>
          <w:szCs w:val="48"/>
        </w:rPr>
        <w:t>东阳市财政专户资金竞争性存放项目</w:t>
      </w:r>
    </w:p>
    <w:p>
      <w:pPr>
        <w:spacing w:line="520" w:lineRule="exact"/>
        <w:jc w:val="center"/>
        <w:rPr>
          <w:rFonts w:ascii="黑体" w:eastAsia="黑体"/>
          <w:b/>
          <w:sz w:val="48"/>
          <w:szCs w:val="48"/>
        </w:rPr>
      </w:pPr>
    </w:p>
    <w:p>
      <w:pPr>
        <w:spacing w:line="520" w:lineRule="exact"/>
        <w:jc w:val="center"/>
        <w:rPr>
          <w:rFonts w:ascii="黑体" w:eastAsia="黑体"/>
          <w:b/>
          <w:sz w:val="48"/>
          <w:szCs w:val="48"/>
        </w:rPr>
      </w:pPr>
      <w:r>
        <w:rPr>
          <w:rFonts w:hint="eastAsia" w:ascii="黑体" w:eastAsia="黑体"/>
          <w:b/>
          <w:sz w:val="48"/>
          <w:szCs w:val="48"/>
        </w:rPr>
        <w:t>——2022年第三期</w:t>
      </w: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520" w:lineRule="exact"/>
        <w:jc w:val="center"/>
        <w:rPr>
          <w:rFonts w:ascii="黑体" w:eastAsia="黑体"/>
          <w:b/>
          <w:sz w:val="48"/>
          <w:szCs w:val="48"/>
        </w:rPr>
      </w:pPr>
    </w:p>
    <w:p>
      <w:pPr>
        <w:spacing w:line="1000" w:lineRule="exact"/>
        <w:jc w:val="center"/>
        <w:rPr>
          <w:b/>
          <w:color w:val="000000"/>
          <w:sz w:val="72"/>
          <w:szCs w:val="72"/>
        </w:rPr>
      </w:pPr>
      <w:r>
        <w:rPr>
          <w:rFonts w:hint="eastAsia"/>
          <w:b/>
          <w:color w:val="000000"/>
          <w:sz w:val="72"/>
          <w:szCs w:val="72"/>
        </w:rPr>
        <w:t>招标文件</w:t>
      </w: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440" w:lineRule="exact"/>
        <w:jc w:val="center"/>
        <w:rPr>
          <w:rFonts w:asciiTheme="minorEastAsia" w:hAnsiTheme="minorEastAsia" w:eastAsiaTheme="minorEastAsia"/>
          <w:b/>
          <w:color w:val="000000"/>
          <w:sz w:val="32"/>
          <w:szCs w:val="32"/>
        </w:rPr>
      </w:pPr>
      <w:r>
        <w:rPr>
          <w:rFonts w:hint="eastAsia" w:asciiTheme="minorEastAsia" w:hAnsiTheme="minorEastAsia" w:eastAsiaTheme="minorEastAsia"/>
          <w:b/>
          <w:sz w:val="32"/>
          <w:szCs w:val="32"/>
        </w:rPr>
        <w:t>二〇二二</w:t>
      </w:r>
      <w:r>
        <w:rPr>
          <w:rFonts w:hint="eastAsia" w:asciiTheme="minorEastAsia" w:hAnsiTheme="minorEastAsia" w:eastAsiaTheme="minorEastAsia"/>
          <w:b/>
          <w:color w:val="000000"/>
          <w:sz w:val="32"/>
          <w:szCs w:val="32"/>
        </w:rPr>
        <w:t>年十一月</w:t>
      </w:r>
    </w:p>
    <w:p>
      <w:pPr>
        <w:spacing w:line="520" w:lineRule="exact"/>
        <w:jc w:val="center"/>
        <w:rPr>
          <w:rFonts w:ascii="宋体" w:hAnsi="宋体"/>
          <w:b/>
          <w:color w:val="000000"/>
          <w:sz w:val="48"/>
          <w:szCs w:val="48"/>
        </w:rPr>
      </w:pPr>
    </w:p>
    <w:p>
      <w:pPr>
        <w:spacing w:line="440" w:lineRule="exact"/>
        <w:rPr>
          <w:b/>
          <w:color w:val="000000"/>
          <w:sz w:val="44"/>
          <w:szCs w:val="44"/>
        </w:rPr>
      </w:pPr>
    </w:p>
    <w:p>
      <w:pPr>
        <w:spacing w:line="440" w:lineRule="exact"/>
        <w:jc w:val="center"/>
        <w:rPr>
          <w:b/>
          <w:color w:val="000000"/>
          <w:sz w:val="44"/>
          <w:szCs w:val="44"/>
        </w:rPr>
      </w:pPr>
      <w:r>
        <w:rPr>
          <w:rFonts w:hint="eastAsia"/>
          <w:b/>
          <w:color w:val="000000"/>
          <w:sz w:val="44"/>
          <w:szCs w:val="44"/>
        </w:rPr>
        <w:t>招标文件目录</w:t>
      </w:r>
    </w:p>
    <w:p>
      <w:pPr>
        <w:spacing w:line="440" w:lineRule="exact"/>
        <w:rPr>
          <w:b/>
          <w:color w:val="000000"/>
          <w:sz w:val="44"/>
          <w:szCs w:val="44"/>
        </w:rPr>
      </w:pPr>
    </w:p>
    <w:p>
      <w:pPr>
        <w:spacing w:line="440" w:lineRule="exact"/>
        <w:rPr>
          <w:b/>
          <w:color w:val="000000"/>
          <w:sz w:val="44"/>
          <w:szCs w:val="44"/>
        </w:rPr>
      </w:pPr>
    </w:p>
    <w:p>
      <w:pPr>
        <w:spacing w:line="560" w:lineRule="exact"/>
        <w:ind w:firstLine="630"/>
        <w:rPr>
          <w:color w:val="000000"/>
          <w:sz w:val="32"/>
          <w:szCs w:val="32"/>
        </w:rPr>
      </w:pPr>
      <w:r>
        <w:rPr>
          <w:rFonts w:hint="eastAsia"/>
          <w:color w:val="000000"/>
          <w:sz w:val="32"/>
          <w:szCs w:val="32"/>
        </w:rPr>
        <w:t>第一部分   招标公告</w:t>
      </w:r>
    </w:p>
    <w:p>
      <w:pPr>
        <w:spacing w:line="560" w:lineRule="exact"/>
        <w:ind w:firstLine="630"/>
        <w:rPr>
          <w:color w:val="000000"/>
          <w:sz w:val="32"/>
          <w:szCs w:val="32"/>
        </w:rPr>
      </w:pPr>
      <w:r>
        <w:rPr>
          <w:rFonts w:hint="eastAsia"/>
          <w:color w:val="000000"/>
          <w:sz w:val="32"/>
          <w:szCs w:val="32"/>
        </w:rPr>
        <w:t>第二部分   投标人须知</w:t>
      </w:r>
    </w:p>
    <w:p>
      <w:pPr>
        <w:spacing w:line="560" w:lineRule="exact"/>
        <w:ind w:firstLine="630"/>
        <w:rPr>
          <w:color w:val="000000"/>
          <w:sz w:val="32"/>
          <w:szCs w:val="32"/>
        </w:rPr>
      </w:pPr>
      <w:r>
        <w:rPr>
          <w:rFonts w:hint="eastAsia"/>
          <w:color w:val="000000"/>
          <w:sz w:val="32"/>
          <w:szCs w:val="32"/>
        </w:rPr>
        <w:t>第三部分   评标办法</w:t>
      </w:r>
    </w:p>
    <w:p>
      <w:pPr>
        <w:spacing w:line="520" w:lineRule="exact"/>
        <w:ind w:firstLine="640" w:firstLineChars="200"/>
        <w:jc w:val="left"/>
        <w:rPr>
          <w:rFonts w:ascii="宋体" w:hAnsi="宋体"/>
          <w:b/>
          <w:color w:val="000000"/>
          <w:sz w:val="48"/>
          <w:szCs w:val="48"/>
        </w:rPr>
      </w:pPr>
      <w:r>
        <w:rPr>
          <w:rFonts w:hint="eastAsia"/>
          <w:color w:val="000000"/>
          <w:sz w:val="32"/>
          <w:szCs w:val="32"/>
        </w:rPr>
        <w:t>第四部分   应提交的投标文件部分格式范例</w:t>
      </w: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20" w:lineRule="exact"/>
        <w:jc w:val="center"/>
        <w:rPr>
          <w:rFonts w:ascii="宋体" w:hAnsi="宋体"/>
          <w:b/>
          <w:color w:val="000000"/>
          <w:sz w:val="48"/>
          <w:szCs w:val="48"/>
        </w:rPr>
      </w:pPr>
    </w:p>
    <w:p>
      <w:pPr>
        <w:spacing w:line="560" w:lineRule="exact"/>
        <w:ind w:firstLine="630"/>
        <w:jc w:val="center"/>
        <w:rPr>
          <w:b/>
          <w:color w:val="000000"/>
          <w:sz w:val="32"/>
          <w:szCs w:val="32"/>
        </w:rPr>
      </w:pPr>
      <w:r>
        <w:rPr>
          <w:rFonts w:hint="eastAsia"/>
          <w:b/>
          <w:color w:val="000000"/>
          <w:sz w:val="32"/>
          <w:szCs w:val="32"/>
        </w:rPr>
        <w:t>第一部分 东阳市财政专户资金竞争性存放招标公告</w:t>
      </w:r>
    </w:p>
    <w:p>
      <w:pPr>
        <w:spacing w:line="560" w:lineRule="exact"/>
        <w:ind w:firstLine="630"/>
        <w:jc w:val="center"/>
        <w:rPr>
          <w:b/>
          <w:color w:val="000000"/>
          <w:sz w:val="32"/>
          <w:szCs w:val="32"/>
        </w:rPr>
      </w:pPr>
      <w:r>
        <w:rPr>
          <w:rFonts w:hint="eastAsia"/>
          <w:b/>
          <w:color w:val="000000"/>
          <w:sz w:val="32"/>
          <w:szCs w:val="32"/>
        </w:rPr>
        <w:t>（2022年第三期）</w:t>
      </w:r>
    </w:p>
    <w:p>
      <w:pPr>
        <w:spacing w:line="400" w:lineRule="exact"/>
        <w:ind w:firstLine="592" w:firstLineChars="247"/>
        <w:jc w:val="left"/>
        <w:rPr>
          <w:rFonts w:ascii="仿宋" w:hAnsi="仿宋" w:eastAsia="仿宋"/>
          <w:color w:val="000000"/>
          <w:sz w:val="24"/>
        </w:rPr>
      </w:pPr>
      <w:r>
        <w:rPr>
          <w:rFonts w:hint="eastAsia" w:ascii="仿宋" w:hAnsi="仿宋" w:eastAsia="仿宋"/>
          <w:color w:val="000000"/>
          <w:sz w:val="24"/>
        </w:rPr>
        <w:t>根据</w:t>
      </w:r>
      <w:r>
        <w:rPr>
          <w:rFonts w:hint="eastAsia" w:ascii="仿宋" w:hAnsi="仿宋" w:eastAsia="仿宋"/>
          <w:sz w:val="24"/>
        </w:rPr>
        <w:t>《东阳市财政专户资金存放管理实施办法》</w:t>
      </w:r>
      <w:r>
        <w:rPr>
          <w:rFonts w:hint="eastAsia" w:ascii="仿宋" w:hAnsi="仿宋" w:eastAsia="仿宋"/>
          <w:color w:val="000000"/>
          <w:sz w:val="24"/>
          <w:shd w:val="clear" w:color="auto" w:fill="FFFFFF"/>
        </w:rPr>
        <w:t>(东政办发[2018]193号)</w:t>
      </w:r>
      <w:r>
        <w:rPr>
          <w:rFonts w:hint="eastAsia" w:ascii="仿宋" w:hAnsi="仿宋" w:eastAsia="仿宋" w:cs="宋体"/>
          <w:bCs/>
          <w:color w:val="000000"/>
          <w:kern w:val="0"/>
          <w:sz w:val="24"/>
        </w:rPr>
        <w:t>和《东阳市财政局关于印发东阳市财政专户资金竞争性存放综合评分指标体系（2020年修订）的通知》</w:t>
      </w:r>
      <w:r>
        <w:rPr>
          <w:rFonts w:hint="eastAsia" w:ascii="仿宋" w:hAnsi="仿宋" w:eastAsia="仿宋"/>
          <w:color w:val="000000"/>
          <w:sz w:val="24"/>
        </w:rPr>
        <w:t>的文件规定，东阳市财政局</w:t>
      </w:r>
      <w:r>
        <w:rPr>
          <w:rFonts w:hint="eastAsia" w:ascii="仿宋" w:hAnsi="仿宋" w:eastAsia="仿宋"/>
          <w:sz w:val="24"/>
        </w:rPr>
        <w:t>组织实施二〇二二年第三期财政专户资金竞争性存放</w:t>
      </w:r>
      <w:r>
        <w:rPr>
          <w:rFonts w:hint="eastAsia" w:ascii="仿宋" w:hAnsi="仿宋" w:eastAsia="仿宋"/>
          <w:color w:val="000000"/>
          <w:sz w:val="24"/>
        </w:rPr>
        <w:t>，欢迎符合资格要求的银行前来报名参加。</w:t>
      </w:r>
    </w:p>
    <w:p>
      <w:pPr>
        <w:spacing w:line="400" w:lineRule="exact"/>
        <w:ind w:firstLine="602" w:firstLineChars="250"/>
        <w:jc w:val="left"/>
        <w:rPr>
          <w:rFonts w:ascii="仿宋" w:hAnsi="仿宋" w:eastAsia="仿宋"/>
          <w:b/>
          <w:color w:val="000000"/>
          <w:sz w:val="24"/>
        </w:rPr>
      </w:pPr>
      <w:r>
        <w:rPr>
          <w:rFonts w:hint="eastAsia" w:ascii="仿宋" w:hAnsi="仿宋" w:eastAsia="仿宋"/>
          <w:b/>
          <w:color w:val="000000"/>
          <w:sz w:val="24"/>
        </w:rPr>
        <w:t>一、项目内容及要求：</w:t>
      </w:r>
    </w:p>
    <w:p>
      <w:pPr>
        <w:spacing w:line="400" w:lineRule="exact"/>
        <w:jc w:val="center"/>
        <w:rPr>
          <w:rFonts w:ascii="宋体" w:hAnsi="宋体"/>
          <w:color w:val="000000"/>
          <w:sz w:val="28"/>
          <w:szCs w:val="28"/>
        </w:rPr>
      </w:pPr>
      <w:r>
        <w:rPr>
          <w:rFonts w:hint="eastAsia" w:ascii="宋体" w:hAnsi="宋体"/>
          <w:b/>
          <w:color w:val="000000"/>
          <w:sz w:val="28"/>
          <w:szCs w:val="28"/>
        </w:rPr>
        <w:t>财政专户资金招标一览表</w:t>
      </w:r>
      <w:r>
        <w:rPr>
          <w:rFonts w:hint="eastAsia" w:ascii="宋体" w:hAnsi="宋体"/>
          <w:color w:val="000000"/>
          <w:sz w:val="28"/>
          <w:szCs w:val="28"/>
        </w:rPr>
        <w:t xml:space="preserve">    </w:t>
      </w:r>
    </w:p>
    <w:p>
      <w:pPr>
        <w:autoSpaceDE w:val="0"/>
        <w:autoSpaceDN w:val="0"/>
        <w:spacing w:line="400" w:lineRule="exact"/>
        <w:textAlignment w:val="bottom"/>
        <w:rPr>
          <w:rFonts w:ascii="宋体" w:hAnsi="宋体"/>
          <w:color w:val="000000"/>
          <w:szCs w:val="21"/>
        </w:rPr>
      </w:pPr>
      <w:r>
        <w:rPr>
          <w:rFonts w:hint="eastAsia" w:ascii="宋体" w:hAnsi="宋体"/>
          <w:color w:val="000000"/>
          <w:szCs w:val="21"/>
        </w:rPr>
        <w:t xml:space="preserve">（单位：万元）      </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417"/>
        <w:gridCol w:w="1418"/>
        <w:gridCol w:w="141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418" w:type="dxa"/>
            <w:vAlign w:val="center"/>
          </w:tcPr>
          <w:p>
            <w:pPr>
              <w:spacing w:line="400" w:lineRule="exact"/>
              <w:jc w:val="center"/>
              <w:rPr>
                <w:rFonts w:ascii="仿宋" w:hAnsi="仿宋" w:eastAsia="仿宋"/>
                <w:b/>
                <w:color w:val="000000"/>
                <w:szCs w:val="21"/>
              </w:rPr>
            </w:pPr>
            <w:r>
              <w:rPr>
                <w:rFonts w:hint="eastAsia" w:ascii="仿宋" w:hAnsi="仿宋" w:eastAsia="仿宋"/>
                <w:b/>
                <w:color w:val="000000"/>
                <w:szCs w:val="21"/>
              </w:rPr>
              <w:t>定期存款期限</w:t>
            </w:r>
          </w:p>
        </w:tc>
        <w:tc>
          <w:tcPr>
            <w:tcW w:w="1417" w:type="dxa"/>
            <w:shd w:val="clear" w:color="auto" w:fill="auto"/>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3年</w:t>
            </w:r>
          </w:p>
        </w:tc>
        <w:tc>
          <w:tcPr>
            <w:tcW w:w="1418" w:type="dxa"/>
            <w:shd w:val="clear" w:color="auto" w:fill="auto"/>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2年</w:t>
            </w:r>
          </w:p>
        </w:tc>
        <w:tc>
          <w:tcPr>
            <w:tcW w:w="1417"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1年</w:t>
            </w:r>
          </w:p>
        </w:tc>
        <w:tc>
          <w:tcPr>
            <w:tcW w:w="1560"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合计</w:t>
            </w:r>
          </w:p>
        </w:tc>
        <w:tc>
          <w:tcPr>
            <w:tcW w:w="1417" w:type="dxa"/>
            <w:shd w:val="clear" w:color="auto" w:fill="auto"/>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18"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标一</w:t>
            </w:r>
          </w:p>
          <w:p>
            <w:pPr>
              <w:spacing w:line="400" w:lineRule="exact"/>
              <w:jc w:val="center"/>
              <w:rPr>
                <w:rFonts w:ascii="仿宋" w:hAnsi="仿宋" w:eastAsia="仿宋"/>
                <w:b/>
                <w:color w:val="000000"/>
                <w:szCs w:val="21"/>
              </w:rPr>
            </w:pPr>
            <w:r>
              <w:rPr>
                <w:rFonts w:hint="eastAsia" w:ascii="仿宋" w:hAnsi="仿宋" w:eastAsia="仿宋"/>
                <w:color w:val="000000"/>
                <w:sz w:val="24"/>
              </w:rPr>
              <w:t>招标资金量</w:t>
            </w:r>
          </w:p>
        </w:tc>
        <w:tc>
          <w:tcPr>
            <w:tcW w:w="1417"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15000</w:t>
            </w:r>
          </w:p>
        </w:tc>
        <w:tc>
          <w:tcPr>
            <w:tcW w:w="1418"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26000</w:t>
            </w:r>
          </w:p>
        </w:tc>
        <w:tc>
          <w:tcPr>
            <w:tcW w:w="1417"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16000</w:t>
            </w:r>
          </w:p>
        </w:tc>
        <w:tc>
          <w:tcPr>
            <w:tcW w:w="1560"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57000</w:t>
            </w:r>
          </w:p>
        </w:tc>
        <w:tc>
          <w:tcPr>
            <w:tcW w:w="1417" w:type="dxa"/>
            <w:shd w:val="clear" w:color="auto" w:fill="auto"/>
          </w:tcPr>
          <w:p>
            <w:pPr>
              <w:spacing w:line="400" w:lineRule="exact"/>
              <w:jc w:val="center"/>
              <w:rPr>
                <w:rFonts w:ascii="仿宋" w:hAnsi="仿宋" w:eastAsia="仿宋"/>
                <w:color w:val="000000"/>
                <w:sz w:val="24"/>
              </w:rPr>
            </w:pPr>
            <w:r>
              <w:rPr>
                <w:rFonts w:hint="eastAsia" w:ascii="仿宋" w:hAnsi="仿宋" w:eastAsia="仿宋"/>
                <w:color w:val="000000"/>
                <w:sz w:val="24"/>
              </w:rPr>
              <w:t>社保</w:t>
            </w:r>
          </w:p>
          <w:p>
            <w:pPr>
              <w:spacing w:line="400" w:lineRule="exact"/>
              <w:jc w:val="center"/>
              <w:rPr>
                <w:rFonts w:ascii="仿宋" w:hAnsi="仿宋" w:eastAsia="仿宋"/>
                <w:color w:val="000000"/>
                <w:sz w:val="24"/>
              </w:rPr>
            </w:pPr>
            <w:r>
              <w:rPr>
                <w:rFonts w:hint="eastAsia" w:ascii="仿宋" w:hAnsi="仿宋" w:eastAsia="仿宋"/>
                <w:color w:val="000000"/>
                <w:sz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18" w:type="dxa"/>
          </w:tcPr>
          <w:p>
            <w:pPr>
              <w:spacing w:line="400" w:lineRule="exact"/>
              <w:jc w:val="center"/>
              <w:rPr>
                <w:rFonts w:ascii="仿宋" w:hAnsi="仿宋" w:eastAsia="仿宋"/>
                <w:color w:val="000000"/>
                <w:sz w:val="24"/>
              </w:rPr>
            </w:pPr>
            <w:r>
              <w:rPr>
                <w:rFonts w:hint="eastAsia" w:ascii="仿宋" w:hAnsi="仿宋" w:eastAsia="仿宋"/>
                <w:color w:val="000000"/>
                <w:sz w:val="24"/>
              </w:rPr>
              <w:t>标二</w:t>
            </w:r>
          </w:p>
          <w:p>
            <w:pPr>
              <w:spacing w:line="400" w:lineRule="exact"/>
              <w:jc w:val="center"/>
              <w:rPr>
                <w:rFonts w:ascii="仿宋" w:hAnsi="仿宋" w:eastAsia="仿宋"/>
                <w:color w:val="000000"/>
                <w:sz w:val="24"/>
              </w:rPr>
            </w:pPr>
            <w:r>
              <w:rPr>
                <w:rFonts w:hint="eastAsia" w:ascii="仿宋" w:hAnsi="仿宋" w:eastAsia="仿宋"/>
                <w:color w:val="000000"/>
                <w:sz w:val="24"/>
              </w:rPr>
              <w:t>招标资金量</w:t>
            </w:r>
          </w:p>
        </w:tc>
        <w:tc>
          <w:tcPr>
            <w:tcW w:w="1417"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w:t>
            </w:r>
          </w:p>
        </w:tc>
        <w:tc>
          <w:tcPr>
            <w:tcW w:w="1418"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w:t>
            </w:r>
          </w:p>
        </w:tc>
        <w:tc>
          <w:tcPr>
            <w:tcW w:w="1417"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1700</w:t>
            </w:r>
          </w:p>
        </w:tc>
        <w:tc>
          <w:tcPr>
            <w:tcW w:w="1560"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1700</w:t>
            </w:r>
          </w:p>
        </w:tc>
        <w:tc>
          <w:tcPr>
            <w:tcW w:w="1417" w:type="dxa"/>
            <w:shd w:val="clear" w:color="auto" w:fill="auto"/>
          </w:tcPr>
          <w:p>
            <w:pPr>
              <w:spacing w:line="400" w:lineRule="exact"/>
              <w:jc w:val="center"/>
              <w:rPr>
                <w:rFonts w:ascii="仿宋" w:hAnsi="仿宋" w:eastAsia="仿宋"/>
                <w:color w:val="000000"/>
                <w:sz w:val="24"/>
              </w:rPr>
            </w:pPr>
            <w:r>
              <w:rPr>
                <w:rFonts w:hint="eastAsia" w:ascii="仿宋" w:hAnsi="仿宋" w:eastAsia="仿宋"/>
                <w:color w:val="000000"/>
                <w:sz w:val="24"/>
              </w:rPr>
              <w:t>代管</w:t>
            </w:r>
          </w:p>
          <w:p>
            <w:pPr>
              <w:spacing w:line="400" w:lineRule="exact"/>
              <w:jc w:val="center"/>
              <w:rPr>
                <w:rFonts w:ascii="仿宋" w:hAnsi="仿宋" w:eastAsia="仿宋"/>
                <w:color w:val="000000"/>
                <w:sz w:val="24"/>
              </w:rPr>
            </w:pPr>
            <w:r>
              <w:rPr>
                <w:rFonts w:hint="eastAsia" w:ascii="仿宋" w:hAnsi="仿宋" w:eastAsia="仿宋"/>
                <w:color w:val="000000"/>
                <w:sz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18"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合计</w:t>
            </w:r>
          </w:p>
        </w:tc>
        <w:tc>
          <w:tcPr>
            <w:tcW w:w="1417"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15000</w:t>
            </w:r>
          </w:p>
        </w:tc>
        <w:tc>
          <w:tcPr>
            <w:tcW w:w="1418"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26000</w:t>
            </w:r>
          </w:p>
        </w:tc>
        <w:tc>
          <w:tcPr>
            <w:tcW w:w="1417"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17700</w:t>
            </w:r>
          </w:p>
        </w:tc>
        <w:tc>
          <w:tcPr>
            <w:tcW w:w="1560"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58700</w:t>
            </w:r>
          </w:p>
        </w:tc>
        <w:tc>
          <w:tcPr>
            <w:tcW w:w="1417" w:type="dxa"/>
            <w:shd w:val="clear" w:color="auto" w:fill="auto"/>
          </w:tcPr>
          <w:p>
            <w:pPr>
              <w:spacing w:line="400" w:lineRule="exact"/>
              <w:jc w:val="center"/>
              <w:rPr>
                <w:rFonts w:ascii="仿宋" w:hAnsi="仿宋" w:eastAsia="仿宋"/>
                <w:color w:val="000000"/>
                <w:sz w:val="24"/>
              </w:rPr>
            </w:pPr>
          </w:p>
        </w:tc>
      </w:tr>
    </w:tbl>
    <w:p>
      <w:pPr>
        <w:pStyle w:val="17"/>
        <w:numPr>
          <w:ilvl w:val="0"/>
          <w:numId w:val="1"/>
        </w:numPr>
        <w:spacing w:line="400" w:lineRule="exact"/>
        <w:ind w:firstLineChars="0"/>
        <w:jc w:val="left"/>
        <w:rPr>
          <w:rFonts w:ascii="仿宋" w:hAnsi="仿宋" w:eastAsia="仿宋"/>
          <w:color w:val="000000"/>
          <w:sz w:val="24"/>
        </w:rPr>
      </w:pPr>
      <w:r>
        <w:rPr>
          <w:rFonts w:hint="eastAsia" w:ascii="仿宋" w:hAnsi="仿宋" w:eastAsia="仿宋"/>
          <w:color w:val="000000"/>
          <w:sz w:val="24"/>
        </w:rPr>
        <w:t>东阳市财政性资金竞争性存放项目，总金额为</w:t>
      </w:r>
      <w:r>
        <w:rPr>
          <w:rFonts w:hint="eastAsia" w:ascii="仿宋" w:hAnsi="仿宋" w:eastAsia="仿宋"/>
          <w:sz w:val="24"/>
        </w:rPr>
        <w:t>58700</w:t>
      </w:r>
      <w:r>
        <w:rPr>
          <w:rFonts w:hint="eastAsia" w:ascii="仿宋" w:hAnsi="仿宋" w:eastAsia="仿宋"/>
          <w:color w:val="000000"/>
          <w:sz w:val="24"/>
        </w:rPr>
        <w:t>万元；</w:t>
      </w:r>
    </w:p>
    <w:p>
      <w:pPr>
        <w:pStyle w:val="17"/>
        <w:numPr>
          <w:ilvl w:val="0"/>
          <w:numId w:val="1"/>
        </w:numPr>
        <w:spacing w:line="400" w:lineRule="exact"/>
        <w:ind w:firstLineChars="0"/>
        <w:jc w:val="left"/>
        <w:rPr>
          <w:rFonts w:ascii="仿宋" w:hAnsi="仿宋" w:eastAsia="仿宋"/>
          <w:color w:val="000000"/>
          <w:sz w:val="24"/>
        </w:rPr>
      </w:pPr>
      <w:r>
        <w:rPr>
          <w:rFonts w:hint="eastAsia" w:ascii="仿宋" w:hAnsi="仿宋" w:eastAsia="仿宋"/>
          <w:color w:val="000000"/>
          <w:sz w:val="24"/>
        </w:rPr>
        <w:t>本期财政性资金竞争性存放项目可以采用大额存单方式投标；</w:t>
      </w:r>
    </w:p>
    <w:p>
      <w:pPr>
        <w:pStyle w:val="17"/>
        <w:numPr>
          <w:ilvl w:val="0"/>
          <w:numId w:val="1"/>
        </w:numPr>
        <w:spacing w:line="400" w:lineRule="exact"/>
        <w:ind w:left="0" w:firstLine="480" w:firstLineChars="0"/>
        <w:jc w:val="left"/>
        <w:rPr>
          <w:rFonts w:ascii="仿宋" w:hAnsi="仿宋" w:eastAsia="仿宋"/>
          <w:color w:val="000000"/>
          <w:sz w:val="24"/>
        </w:rPr>
      </w:pPr>
      <w:r>
        <w:rPr>
          <w:rFonts w:hint="eastAsia" w:ascii="仿宋" w:hAnsi="仿宋" w:eastAsia="仿宋"/>
          <w:color w:val="000000"/>
          <w:sz w:val="24"/>
        </w:rPr>
        <w:t>本期财政性资金竞争性存放项目招投标保底价：中国人民银行基准利率基础上上浮点数不得低于40BP;</w:t>
      </w: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（4） 评标办法：按</w:t>
      </w:r>
      <w:r>
        <w:rPr>
          <w:rFonts w:hint="eastAsia" w:ascii="仿宋" w:hAnsi="仿宋" w:eastAsia="仿宋" w:cs="宋体"/>
          <w:bCs/>
          <w:color w:val="000000"/>
          <w:kern w:val="0"/>
          <w:sz w:val="24"/>
        </w:rPr>
        <w:t>《东阳市财政局关于印发东阳市财政专户资金竞争性存放综合评分指标体系（2020年修订）的通知》(东财预执【2020】2号)及《关于调整&lt;东阳市财政专户资金竞争性存放综合评分指标体系&gt;的公告》计分方法得出各银行综合评分，综合评分</w:t>
      </w:r>
      <w:r>
        <w:rPr>
          <w:rFonts w:hint="eastAsia" w:ascii="仿宋" w:hAnsi="仿宋" w:eastAsia="仿宋"/>
          <w:color w:val="000000"/>
          <w:sz w:val="24"/>
        </w:rPr>
        <w:t>高者优先的原则确定中标单位；</w:t>
      </w:r>
    </w:p>
    <w:p>
      <w:pPr>
        <w:spacing w:line="400" w:lineRule="exact"/>
        <w:jc w:val="left"/>
        <w:rPr>
          <w:rFonts w:ascii="仿宋" w:hAnsi="仿宋" w:eastAsia="仿宋"/>
          <w:b/>
          <w:color w:val="000000"/>
          <w:sz w:val="24"/>
        </w:rPr>
      </w:pPr>
      <w:r>
        <w:rPr>
          <w:rFonts w:hint="eastAsia" w:ascii="仿宋" w:hAnsi="仿宋" w:eastAsia="仿宋"/>
          <w:color w:val="000000"/>
          <w:sz w:val="24"/>
        </w:rPr>
        <w:t xml:space="preserve">    </w:t>
      </w:r>
      <w:r>
        <w:rPr>
          <w:rFonts w:hint="eastAsia" w:ascii="仿宋" w:hAnsi="仿宋" w:eastAsia="仿宋"/>
          <w:b/>
          <w:color w:val="000000"/>
          <w:sz w:val="24"/>
        </w:rPr>
        <w:t>二、投标银行资格要求：</w:t>
      </w:r>
    </w:p>
    <w:p>
      <w:pPr>
        <w:spacing w:line="400" w:lineRule="exact"/>
        <w:ind w:firstLine="480" w:firstLineChars="200"/>
        <w:jc w:val="left"/>
        <w:rPr>
          <w:rFonts w:ascii="仿宋" w:hAnsi="仿宋" w:eastAsia="仿宋"/>
          <w:color w:val="000000"/>
          <w:sz w:val="24"/>
        </w:rPr>
      </w:pPr>
      <w:r>
        <w:rPr>
          <w:rFonts w:hint="eastAsia" w:ascii="仿宋" w:hAnsi="仿宋" w:eastAsia="仿宋"/>
          <w:color w:val="000000"/>
          <w:sz w:val="24"/>
        </w:rPr>
        <w:t>参与财政资金招投标的银行业金融机构（以下简称投标银行）须符合以下要求：</w:t>
      </w:r>
    </w:p>
    <w:p>
      <w:pPr>
        <w:spacing w:line="400" w:lineRule="exact"/>
        <w:ind w:firstLine="480" w:firstLineChars="200"/>
        <w:rPr>
          <w:rFonts w:ascii="仿宋" w:hAnsi="仿宋" w:eastAsia="仿宋"/>
          <w:kern w:val="0"/>
          <w:sz w:val="24"/>
        </w:rPr>
      </w:pPr>
      <w:r>
        <w:rPr>
          <w:rFonts w:hint="eastAsia" w:ascii="仿宋" w:hAnsi="仿宋" w:eastAsia="仿宋"/>
          <w:color w:val="000000"/>
          <w:sz w:val="24"/>
        </w:rPr>
        <w:t>（1）</w:t>
      </w:r>
      <w:r>
        <w:rPr>
          <w:rFonts w:hint="eastAsia" w:ascii="仿宋" w:hAnsi="仿宋" w:eastAsia="仿宋" w:cs="仿宋_GB2312"/>
          <w:kern w:val="0"/>
          <w:sz w:val="24"/>
        </w:rPr>
        <w:t>在东阳市行政区域内设有分支机构；</w:t>
      </w:r>
    </w:p>
    <w:p>
      <w:pPr>
        <w:spacing w:line="400" w:lineRule="exact"/>
        <w:ind w:firstLine="480" w:firstLineChars="200"/>
        <w:rPr>
          <w:rFonts w:ascii="仿宋" w:hAnsi="仿宋" w:eastAsia="仿宋"/>
          <w:kern w:val="0"/>
          <w:sz w:val="24"/>
        </w:rPr>
      </w:pPr>
      <w:r>
        <w:rPr>
          <w:rFonts w:hint="eastAsia" w:ascii="仿宋" w:hAnsi="仿宋" w:eastAsia="仿宋"/>
          <w:color w:val="000000"/>
          <w:sz w:val="24"/>
        </w:rPr>
        <w:t>（2）</w:t>
      </w:r>
      <w:r>
        <w:rPr>
          <w:rFonts w:hint="eastAsia" w:ascii="仿宋" w:hAnsi="仿宋" w:eastAsia="仿宋" w:cs="仿宋_GB2312"/>
          <w:kern w:val="0"/>
          <w:sz w:val="24"/>
        </w:rPr>
        <w:t>依法开展经营活动，内部管理机制健全，具有较强的风险控制能力，近</w:t>
      </w:r>
      <w:r>
        <w:rPr>
          <w:rFonts w:ascii="仿宋" w:hAnsi="仿宋" w:eastAsia="仿宋" w:cs="仿宋_GB2312"/>
          <w:kern w:val="0"/>
          <w:sz w:val="24"/>
        </w:rPr>
        <w:t>3</w:t>
      </w:r>
      <w:r>
        <w:rPr>
          <w:rFonts w:hint="eastAsia" w:ascii="仿宋" w:hAnsi="仿宋" w:eastAsia="仿宋" w:cs="仿宋_GB2312"/>
          <w:kern w:val="0"/>
          <w:sz w:val="24"/>
        </w:rPr>
        <w:t>年内在经营活动中无重大违法违规记录、未发生金融风险及重大违约事件；</w:t>
      </w:r>
    </w:p>
    <w:p>
      <w:pPr>
        <w:spacing w:line="400" w:lineRule="exact"/>
        <w:ind w:firstLine="480" w:firstLineChars="200"/>
        <w:rPr>
          <w:rFonts w:ascii="仿宋" w:hAnsi="仿宋" w:eastAsia="仿宋"/>
          <w:kern w:val="0"/>
          <w:sz w:val="24"/>
        </w:rPr>
      </w:pPr>
      <w:r>
        <w:rPr>
          <w:rFonts w:hint="eastAsia" w:ascii="仿宋" w:hAnsi="仿宋" w:eastAsia="仿宋"/>
          <w:color w:val="000000"/>
          <w:sz w:val="24"/>
        </w:rPr>
        <w:t>（3）</w:t>
      </w:r>
      <w:r>
        <w:rPr>
          <w:rFonts w:hint="eastAsia" w:ascii="仿宋" w:hAnsi="仿宋" w:eastAsia="仿宋" w:cs="仿宋_GB2312"/>
          <w:kern w:val="0"/>
          <w:sz w:val="24"/>
        </w:rPr>
        <w:t>纳入监管评级的银行，人民银行</w:t>
      </w:r>
      <w:r>
        <w:rPr>
          <w:rFonts w:hint="eastAsia" w:ascii="仿宋" w:hAnsi="仿宋" w:eastAsia="仿宋"/>
          <w:sz w:val="24"/>
        </w:rPr>
        <w:t>二〇二一年度</w:t>
      </w:r>
      <w:r>
        <w:rPr>
          <w:rFonts w:hint="eastAsia" w:ascii="仿宋" w:hAnsi="仿宋" w:eastAsia="仿宋" w:cs="仿宋_GB2312"/>
          <w:kern w:val="0"/>
          <w:sz w:val="24"/>
        </w:rPr>
        <w:t>综合评价应达到</w:t>
      </w:r>
      <w:r>
        <w:rPr>
          <w:rFonts w:ascii="仿宋" w:hAnsi="仿宋" w:eastAsia="仿宋" w:cs="仿宋_GB2312"/>
          <w:kern w:val="0"/>
          <w:sz w:val="24"/>
        </w:rPr>
        <w:t>B</w:t>
      </w:r>
      <w:r>
        <w:rPr>
          <w:rFonts w:hint="eastAsia" w:ascii="仿宋" w:hAnsi="仿宋" w:eastAsia="仿宋" w:cs="仿宋_GB2312"/>
          <w:kern w:val="0"/>
          <w:sz w:val="24"/>
        </w:rPr>
        <w:t>级及以上；</w:t>
      </w:r>
    </w:p>
    <w:p>
      <w:pPr>
        <w:spacing w:line="400" w:lineRule="exact"/>
        <w:ind w:firstLine="480" w:firstLineChars="200"/>
        <w:jc w:val="left"/>
        <w:rPr>
          <w:rFonts w:ascii="仿宋" w:hAnsi="仿宋" w:eastAsia="仿宋" w:cs="仿宋_GB2312"/>
          <w:kern w:val="0"/>
          <w:sz w:val="24"/>
        </w:rPr>
      </w:pPr>
      <w:r>
        <w:rPr>
          <w:rFonts w:hint="eastAsia" w:ascii="仿宋" w:hAnsi="仿宋" w:eastAsia="仿宋"/>
          <w:sz w:val="24"/>
        </w:rPr>
        <w:t>（4）银行</w:t>
      </w:r>
      <w:r>
        <w:rPr>
          <w:rFonts w:hint="eastAsia" w:ascii="仿宋" w:hAnsi="仿宋" w:eastAsia="仿宋" w:cs="仿宋_GB2312"/>
          <w:kern w:val="0"/>
          <w:sz w:val="24"/>
        </w:rPr>
        <w:t>员工个人所得税在东阳市申报或代扣代缴。</w:t>
      </w:r>
    </w:p>
    <w:p>
      <w:pPr>
        <w:spacing w:line="400" w:lineRule="exact"/>
        <w:ind w:firstLine="480" w:firstLineChars="200"/>
        <w:jc w:val="left"/>
        <w:rPr>
          <w:rFonts w:ascii="仿宋" w:hAnsi="仿宋" w:eastAsia="仿宋"/>
          <w:sz w:val="24"/>
        </w:rPr>
      </w:pPr>
      <w:r>
        <w:rPr>
          <w:rFonts w:hint="eastAsia" w:ascii="仿宋" w:hAnsi="仿宋" w:eastAsia="仿宋" w:cs="仿宋_GB2312"/>
          <w:kern w:val="0"/>
          <w:sz w:val="24"/>
        </w:rPr>
        <w:t>（5）</w:t>
      </w:r>
      <w:r>
        <w:rPr>
          <w:rFonts w:hint="eastAsia" w:ascii="仿宋" w:hAnsi="仿宋" w:eastAsia="仿宋"/>
          <w:sz w:val="24"/>
        </w:rPr>
        <w:t>截</w:t>
      </w:r>
      <w:r>
        <w:rPr>
          <w:rFonts w:hint="eastAsia" w:ascii="仿宋" w:hAnsi="仿宋" w:eastAsia="仿宋"/>
          <w:sz w:val="24"/>
          <w:lang w:eastAsia="zh-CN"/>
        </w:rPr>
        <w:t>至</w:t>
      </w:r>
      <w:bookmarkStart w:id="0" w:name="_GoBack"/>
      <w:bookmarkEnd w:id="0"/>
      <w:r>
        <w:rPr>
          <w:rFonts w:hint="eastAsia" w:ascii="仿宋" w:hAnsi="仿宋" w:eastAsia="仿宋"/>
          <w:sz w:val="24"/>
        </w:rPr>
        <w:t>2022年10月末，上年末贷款余额在10亿元以下的银行，如果财政资金存款余额占其一般性存款余额超过30%，则不能参加本期竞争性存放操作，待其占比下降至30%以下后再可参与。</w:t>
      </w:r>
    </w:p>
    <w:p>
      <w:pPr>
        <w:spacing w:line="400" w:lineRule="exact"/>
        <w:ind w:firstLine="482" w:firstLineChars="200"/>
        <w:rPr>
          <w:rFonts w:ascii="仿宋" w:hAnsi="仿宋" w:eastAsia="仿宋"/>
          <w:b/>
          <w:sz w:val="24"/>
        </w:rPr>
      </w:pPr>
      <w:r>
        <w:rPr>
          <w:rFonts w:hint="eastAsia" w:ascii="仿宋" w:hAnsi="仿宋" w:eastAsia="仿宋"/>
          <w:b/>
          <w:sz w:val="24"/>
        </w:rPr>
        <w:t>三、银行中标比例规定：</w:t>
      </w:r>
    </w:p>
    <w:p>
      <w:pPr>
        <w:spacing w:line="400" w:lineRule="exact"/>
        <w:ind w:firstLine="480" w:firstLineChars="200"/>
        <w:rPr>
          <w:rFonts w:ascii="仿宋" w:hAnsi="仿宋" w:eastAsia="仿宋"/>
          <w:sz w:val="24"/>
        </w:rPr>
      </w:pPr>
      <w:r>
        <w:rPr>
          <w:rFonts w:hint="eastAsia" w:ascii="仿宋" w:hAnsi="仿宋" w:eastAsia="仿宋"/>
          <w:sz w:val="24"/>
        </w:rPr>
        <w:t>（1）单家银行可中标金额占分标段（按存放期限区分标段）金额4亿元（含）以下最高为五分之一， 4亿元以上最高为六分之一；</w:t>
      </w:r>
      <w:r>
        <w:rPr>
          <w:rFonts w:ascii="仿宋" w:hAnsi="仿宋" w:eastAsia="仿宋"/>
          <w:sz w:val="24"/>
        </w:rPr>
        <w:t xml:space="preserve"> </w:t>
      </w:r>
    </w:p>
    <w:p>
      <w:pPr>
        <w:spacing w:line="400" w:lineRule="exact"/>
        <w:ind w:firstLine="480" w:firstLineChars="200"/>
        <w:rPr>
          <w:rFonts w:ascii="仿宋" w:hAnsi="仿宋" w:eastAsia="仿宋"/>
          <w:sz w:val="24"/>
        </w:rPr>
      </w:pPr>
      <w:r>
        <w:rPr>
          <w:rFonts w:hint="eastAsia" w:ascii="仿宋" w:hAnsi="仿宋" w:eastAsia="仿宋"/>
          <w:sz w:val="24"/>
        </w:rPr>
        <w:t>（2）在第一条基础上，按银行贷款规模大小再按比例折算出可中标金额，贷款规模50亿元以上的一类银行按100%折算，贷款规模10亿至50亿元的二类银行按60%折算，贷款规模10亿元以下的三类银行按30%折算，原则上最小中标金额为1000万元（每个标段最后一名中标金额可能小于1000万元，对资金量有特殊要求的在备注上详细注明）；</w:t>
      </w:r>
    </w:p>
    <w:p>
      <w:pPr>
        <w:spacing w:line="400" w:lineRule="exact"/>
        <w:ind w:firstLine="480" w:firstLineChars="200"/>
        <w:rPr>
          <w:rFonts w:ascii="仿宋" w:hAnsi="仿宋" w:eastAsia="仿宋"/>
          <w:sz w:val="24"/>
        </w:rPr>
      </w:pPr>
      <w:r>
        <w:rPr>
          <w:rFonts w:hint="eastAsia" w:ascii="仿宋" w:hAnsi="仿宋" w:eastAsia="仿宋"/>
          <w:sz w:val="24"/>
        </w:rPr>
        <w:t>（3）</w:t>
      </w:r>
      <w:r>
        <w:rPr>
          <w:rFonts w:hint="eastAsia" w:ascii="仿宋" w:hAnsi="仿宋" w:eastAsia="仿宋"/>
          <w:color w:val="000000"/>
          <w:sz w:val="24"/>
        </w:rPr>
        <w:t>标二确定一家中标银行，</w:t>
      </w:r>
      <w:r>
        <w:rPr>
          <w:rFonts w:hint="eastAsia" w:ascii="仿宋" w:hAnsi="仿宋" w:eastAsia="仿宋" w:cs="宋体"/>
          <w:bCs/>
          <w:color w:val="000000"/>
          <w:kern w:val="0"/>
          <w:sz w:val="24"/>
        </w:rPr>
        <w:t>综合评分第一名</w:t>
      </w:r>
      <w:r>
        <w:rPr>
          <w:rFonts w:hint="eastAsia" w:ascii="仿宋" w:hAnsi="仿宋" w:eastAsia="仿宋"/>
          <w:color w:val="000000"/>
          <w:sz w:val="24"/>
        </w:rPr>
        <w:t>存放</w:t>
      </w:r>
      <w:r>
        <w:rPr>
          <w:rFonts w:hint="eastAsia" w:ascii="仿宋" w:hAnsi="仿宋" w:eastAsia="仿宋"/>
          <w:sz w:val="24"/>
        </w:rPr>
        <w:t>1700万元。</w:t>
      </w:r>
    </w:p>
    <w:p>
      <w:pPr>
        <w:spacing w:line="400" w:lineRule="exact"/>
        <w:ind w:firstLine="482" w:firstLineChars="200"/>
        <w:jc w:val="left"/>
        <w:rPr>
          <w:rFonts w:ascii="仿宋" w:hAnsi="仿宋" w:eastAsia="仿宋"/>
          <w:b/>
          <w:color w:val="000000"/>
          <w:sz w:val="24"/>
        </w:rPr>
      </w:pPr>
      <w:r>
        <w:rPr>
          <w:rFonts w:hint="eastAsia" w:ascii="仿宋" w:hAnsi="仿宋" w:eastAsia="仿宋"/>
          <w:b/>
          <w:color w:val="000000"/>
          <w:sz w:val="24"/>
        </w:rPr>
        <w:t>四、投标报名及招标文件的获取：</w:t>
      </w:r>
    </w:p>
    <w:p>
      <w:pPr>
        <w:spacing w:line="400" w:lineRule="exact"/>
        <w:ind w:firstLine="480" w:firstLineChars="200"/>
        <w:jc w:val="left"/>
        <w:rPr>
          <w:rFonts w:ascii="仿宋" w:hAnsi="仿宋" w:eastAsia="仿宋"/>
          <w:color w:val="000000"/>
          <w:sz w:val="24"/>
        </w:rPr>
      </w:pPr>
      <w:r>
        <w:rPr>
          <w:rFonts w:hint="eastAsia" w:ascii="仿宋" w:hAnsi="仿宋" w:eastAsia="仿宋"/>
          <w:color w:val="000000"/>
          <w:sz w:val="24"/>
        </w:rPr>
        <w:t>一、投标报名：</w:t>
      </w:r>
    </w:p>
    <w:p>
      <w:pPr>
        <w:spacing w:line="400" w:lineRule="exact"/>
        <w:ind w:firstLine="480" w:firstLineChars="200"/>
        <w:jc w:val="left"/>
        <w:rPr>
          <w:rFonts w:ascii="仿宋" w:hAnsi="仿宋" w:eastAsia="仿宋"/>
          <w:color w:val="000000"/>
          <w:sz w:val="24"/>
        </w:rPr>
      </w:pPr>
      <w:r>
        <w:rPr>
          <w:rFonts w:hint="eastAsia" w:ascii="仿宋" w:hAnsi="仿宋" w:eastAsia="仿宋"/>
          <w:color w:val="000000"/>
          <w:sz w:val="24"/>
        </w:rPr>
        <w:t>1.时间：公告发布之时起至2022年12月4日下午15:00时止。</w:t>
      </w:r>
    </w:p>
    <w:p>
      <w:pPr>
        <w:spacing w:line="400" w:lineRule="exact"/>
        <w:ind w:firstLine="480" w:firstLineChars="200"/>
        <w:jc w:val="left"/>
        <w:rPr>
          <w:rFonts w:ascii="仿宋" w:hAnsi="仿宋" w:eastAsia="仿宋"/>
          <w:color w:val="000000"/>
          <w:sz w:val="24"/>
        </w:rPr>
      </w:pPr>
      <w:r>
        <w:rPr>
          <w:rFonts w:hint="eastAsia" w:ascii="仿宋" w:hAnsi="仿宋" w:eastAsia="仿宋"/>
          <w:color w:val="000000"/>
          <w:sz w:val="24"/>
        </w:rPr>
        <w:t>2.方式：本项目实行网上报名，不接受现场报名。有意参投本项目的银行通过政府采购云平台（以下简称“政采云”，网址：https://www.zcygov.cn）电子招投标系统进行网上报名（具体路径：用户中心－公款竞争性存放－财政资金竞争性存放－竞标项目），在竞标项目中选择将参加的招标项目并相应填写报名信息。报名成功后联系人会收到短信通知，报名成功的银行方能参加投标。</w:t>
      </w:r>
    </w:p>
    <w:p>
      <w:pPr>
        <w:spacing w:line="400" w:lineRule="exact"/>
        <w:ind w:firstLine="840" w:firstLineChars="350"/>
        <w:jc w:val="left"/>
        <w:rPr>
          <w:rFonts w:ascii="仿宋" w:hAnsi="仿宋" w:eastAsia="仿宋"/>
          <w:color w:val="000000"/>
          <w:sz w:val="24"/>
        </w:rPr>
      </w:pPr>
      <w:r>
        <w:rPr>
          <w:rFonts w:hint="eastAsia" w:ascii="仿宋" w:hAnsi="仿宋" w:eastAsia="仿宋"/>
          <w:color w:val="000000"/>
          <w:sz w:val="24"/>
        </w:rPr>
        <w:t>注：在报名之前，银行应先在政采云平台完成账号注册（https://middle.zcygov.cn/v-settle-front/registry?settleCategory=1&amp;entranceType=50），通过后方能参与线上报名、投标等操作。</w:t>
      </w:r>
    </w:p>
    <w:p>
      <w:pPr>
        <w:pStyle w:val="17"/>
        <w:numPr>
          <w:ilvl w:val="0"/>
          <w:numId w:val="2"/>
        </w:numPr>
        <w:spacing w:line="400" w:lineRule="exact"/>
        <w:ind w:firstLineChars="0"/>
        <w:jc w:val="left"/>
        <w:rPr>
          <w:rFonts w:ascii="仿宋" w:hAnsi="仿宋" w:eastAsia="仿宋"/>
          <w:color w:val="000000"/>
          <w:sz w:val="24"/>
        </w:rPr>
      </w:pPr>
      <w:r>
        <w:rPr>
          <w:rFonts w:hint="eastAsia" w:ascii="仿宋" w:hAnsi="仿宋" w:eastAsia="仿宋"/>
          <w:color w:val="000000"/>
          <w:sz w:val="24"/>
        </w:rPr>
        <w:t>投标起止时间：</w:t>
      </w:r>
    </w:p>
    <w:p>
      <w:pPr>
        <w:pStyle w:val="17"/>
        <w:spacing w:line="400" w:lineRule="exact"/>
        <w:ind w:left="120" w:firstLine="480"/>
        <w:jc w:val="left"/>
        <w:rPr>
          <w:rFonts w:ascii="仿宋" w:hAnsi="仿宋" w:eastAsia="仿宋"/>
          <w:color w:val="000000"/>
          <w:sz w:val="24"/>
        </w:rPr>
      </w:pPr>
      <w:r>
        <w:rPr>
          <w:rFonts w:hint="eastAsia" w:ascii="仿宋" w:hAnsi="仿宋" w:eastAsia="仿宋"/>
          <w:color w:val="000000"/>
          <w:sz w:val="24"/>
        </w:rPr>
        <w:t>1、通过政府采购云平台（https://www.zcygov.cn）电子招投标系统，报名通过的银行应于2022年12月5日下午14：00之前（尽量提前），登录政府采购云平台，进入电子招投标系统，按规定完成投标（PDF版投标文件盖章后上传）。投标成功会接收短信通知，逾期投标无效。</w:t>
      </w:r>
    </w:p>
    <w:p>
      <w:pPr>
        <w:spacing w:line="400" w:lineRule="exact"/>
        <w:ind w:firstLine="600" w:firstLineChars="250"/>
        <w:jc w:val="left"/>
        <w:rPr>
          <w:rFonts w:ascii="仿宋" w:hAnsi="仿宋" w:eastAsia="仿宋"/>
          <w:color w:val="000000"/>
          <w:sz w:val="24"/>
        </w:rPr>
      </w:pPr>
      <w:r>
        <w:rPr>
          <w:rFonts w:hint="eastAsia" w:ascii="仿宋" w:hAnsi="仿宋" w:eastAsia="仿宋"/>
          <w:color w:val="000000"/>
          <w:sz w:val="24"/>
        </w:rPr>
        <w:t>2、备份招标文件：2022年12月5日下午14：00——14:15分发送压缩后的电子投标文件至邮箱1668064811@qq.com ，名称统一为：银行名+003投标文件（因执行局初次使用电子招标，系统可能出现无法预测的情况，如果系统出现故障无法继续使用电子评标时，中心将在财政局执行局监督下启用该备用电子投标文件）。</w:t>
      </w:r>
    </w:p>
    <w:p>
      <w:pPr>
        <w:pStyle w:val="17"/>
        <w:numPr>
          <w:ilvl w:val="0"/>
          <w:numId w:val="2"/>
        </w:numPr>
        <w:spacing w:line="400" w:lineRule="exact"/>
        <w:ind w:firstLineChars="0"/>
        <w:jc w:val="left"/>
        <w:rPr>
          <w:rFonts w:ascii="仿宋" w:hAnsi="仿宋" w:eastAsia="仿宋"/>
          <w:color w:val="000000"/>
          <w:sz w:val="24"/>
        </w:rPr>
      </w:pPr>
      <w:r>
        <w:rPr>
          <w:rFonts w:hint="eastAsia" w:ascii="仿宋" w:hAnsi="仿宋" w:eastAsia="仿宋"/>
          <w:color w:val="000000"/>
          <w:sz w:val="24"/>
        </w:rPr>
        <w:t>开标时间及地点：</w:t>
      </w:r>
    </w:p>
    <w:p>
      <w:pPr>
        <w:pStyle w:val="17"/>
        <w:spacing w:line="400" w:lineRule="exact"/>
        <w:ind w:left="120" w:firstLine="240" w:firstLineChars="100"/>
        <w:jc w:val="left"/>
        <w:rPr>
          <w:rFonts w:ascii="仿宋" w:hAnsi="仿宋" w:eastAsia="仿宋"/>
          <w:color w:val="000000"/>
          <w:sz w:val="24"/>
        </w:rPr>
      </w:pPr>
      <w:r>
        <w:rPr>
          <w:rFonts w:hint="eastAsia" w:ascii="仿宋" w:hAnsi="仿宋" w:eastAsia="仿宋"/>
          <w:color w:val="000000"/>
          <w:sz w:val="24"/>
        </w:rPr>
        <w:t>1.</w:t>
      </w:r>
      <w:r>
        <w:rPr>
          <w:rFonts w:hint="eastAsia" w:ascii="宋体" w:hAnsi="宋体" w:cs="宋体"/>
          <w:color w:val="000000"/>
          <w:sz w:val="24"/>
        </w:rPr>
        <w:t> </w:t>
      </w:r>
      <w:r>
        <w:rPr>
          <w:rFonts w:hint="eastAsia" w:ascii="仿宋" w:hAnsi="仿宋" w:eastAsia="仿宋"/>
          <w:color w:val="000000"/>
          <w:sz w:val="24"/>
        </w:rPr>
        <w:t>时间：2022年12月5日下午14:00</w:t>
      </w:r>
    </w:p>
    <w:p>
      <w:pPr>
        <w:spacing w:line="400" w:lineRule="exact"/>
        <w:ind w:firstLine="360" w:firstLineChars="150"/>
        <w:jc w:val="left"/>
        <w:rPr>
          <w:rFonts w:ascii="仿宋" w:hAnsi="仿宋" w:eastAsia="仿宋"/>
          <w:color w:val="000000"/>
          <w:sz w:val="24"/>
        </w:rPr>
      </w:pPr>
      <w:r>
        <w:rPr>
          <w:rFonts w:hint="eastAsia" w:ascii="仿宋" w:hAnsi="仿宋" w:eastAsia="仿宋"/>
          <w:color w:val="000000"/>
          <w:sz w:val="24"/>
        </w:rPr>
        <w:t>2.</w:t>
      </w:r>
      <w:r>
        <w:rPr>
          <w:rFonts w:hint="eastAsia" w:ascii="宋体" w:hAnsi="宋体" w:cs="宋体"/>
          <w:color w:val="000000"/>
          <w:sz w:val="24"/>
        </w:rPr>
        <w:t> </w:t>
      </w:r>
      <w:r>
        <w:rPr>
          <w:rFonts w:hint="eastAsia" w:ascii="仿宋" w:hAnsi="仿宋" w:eastAsia="仿宋"/>
          <w:color w:val="000000"/>
          <w:sz w:val="24"/>
        </w:rPr>
        <w:t>地点：政府采购云平台（https://www.zcygov.cn）</w:t>
      </w:r>
    </w:p>
    <w:p>
      <w:pPr>
        <w:pStyle w:val="17"/>
        <w:numPr>
          <w:ilvl w:val="0"/>
          <w:numId w:val="2"/>
        </w:numPr>
        <w:spacing w:line="400" w:lineRule="exact"/>
        <w:ind w:firstLineChars="0"/>
        <w:jc w:val="left"/>
        <w:rPr>
          <w:rFonts w:ascii="仿宋" w:hAnsi="仿宋" w:eastAsia="仿宋"/>
          <w:color w:val="000000"/>
          <w:sz w:val="24"/>
        </w:rPr>
      </w:pPr>
      <w:r>
        <w:rPr>
          <w:rFonts w:hint="eastAsia" w:ascii="仿宋" w:hAnsi="仿宋" w:eastAsia="仿宋"/>
          <w:color w:val="000000"/>
          <w:sz w:val="24"/>
        </w:rPr>
        <w:t>本项目采用线上开标，供应商无需到开标现场，但应准时在线参加。</w:t>
      </w:r>
    </w:p>
    <w:p>
      <w:pPr>
        <w:spacing w:line="400" w:lineRule="exact"/>
        <w:ind w:left="360"/>
        <w:jc w:val="left"/>
        <w:rPr>
          <w:rFonts w:ascii="仿宋" w:hAnsi="仿宋" w:eastAsia="仿宋"/>
          <w:color w:val="000000"/>
          <w:sz w:val="24"/>
        </w:rPr>
      </w:pPr>
      <w:r>
        <w:rPr>
          <w:rFonts w:hint="eastAsia" w:ascii="仿宋" w:hAnsi="仿宋" w:eastAsia="仿宋"/>
          <w:color w:val="000000"/>
          <w:sz w:val="24"/>
        </w:rPr>
        <w:t>五、招标文件下载地址：</w:t>
      </w:r>
    </w:p>
    <w:p>
      <w:pPr>
        <w:spacing w:line="400" w:lineRule="exact"/>
        <w:ind w:left="360" w:firstLine="360" w:firstLineChars="150"/>
        <w:jc w:val="left"/>
        <w:rPr>
          <w:rFonts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lang w:eastAsia="zh-CN"/>
        </w:rPr>
        <w:t>浙江省政府采购网（https://zfcg.czt.zj.gov.cn/）、</w:t>
      </w:r>
      <w:r>
        <w:rPr>
          <w:rFonts w:hint="eastAsia" w:ascii="仿宋" w:hAnsi="仿宋" w:eastAsia="仿宋"/>
          <w:color w:val="000000"/>
          <w:sz w:val="24"/>
        </w:rPr>
        <w:t>东阳公共资源交易（http://www.dongyang.gov.cn/ggzyjy/index.html）及东阳市公款存放银行群，本公告后提供附件下载。</w:t>
      </w:r>
    </w:p>
    <w:p>
      <w:pPr>
        <w:snapToGrid w:val="0"/>
        <w:spacing w:line="400" w:lineRule="exact"/>
        <w:ind w:firstLine="482" w:firstLineChars="200"/>
        <w:rPr>
          <w:rFonts w:ascii="仿宋" w:hAnsi="仿宋" w:eastAsia="仿宋" w:cs="Arial"/>
          <w:b/>
          <w:bCs/>
          <w:sz w:val="24"/>
        </w:rPr>
      </w:pPr>
      <w:r>
        <w:rPr>
          <w:rFonts w:hint="eastAsia" w:ascii="仿宋" w:hAnsi="仿宋" w:eastAsia="仿宋" w:cs="Arial"/>
          <w:b/>
          <w:bCs/>
          <w:sz w:val="24"/>
        </w:rPr>
        <w:t>六、业务咨询：</w:t>
      </w:r>
    </w:p>
    <w:p>
      <w:pPr>
        <w:snapToGrid w:val="0"/>
        <w:spacing w:line="400" w:lineRule="exact"/>
        <w:ind w:firstLine="480" w:firstLineChars="200"/>
        <w:rPr>
          <w:rFonts w:ascii="仿宋" w:hAnsi="仿宋" w:eastAsia="仿宋" w:cs="Arial"/>
          <w:b/>
          <w:bCs/>
          <w:sz w:val="24"/>
        </w:rPr>
      </w:pPr>
      <w:r>
        <w:rPr>
          <w:rFonts w:hint="eastAsia" w:ascii="仿宋" w:hAnsi="仿宋" w:eastAsia="仿宋" w:cs="Arial"/>
          <w:sz w:val="24"/>
        </w:rPr>
        <w:t xml:space="preserve">东阳市财政局联系人：王刚 </w:t>
      </w:r>
      <w:r>
        <w:rPr>
          <w:rFonts w:hint="eastAsia" w:ascii="仿宋" w:hAnsi="仿宋" w:eastAsia="仿宋" w:cs="Arial"/>
          <w:b/>
          <w:bCs/>
          <w:sz w:val="24"/>
        </w:rPr>
        <w:t xml:space="preserve">   </w:t>
      </w:r>
      <w:r>
        <w:rPr>
          <w:rFonts w:hint="eastAsia" w:ascii="仿宋" w:hAnsi="仿宋" w:eastAsia="仿宋" w:cs="Arial"/>
          <w:bCs/>
          <w:sz w:val="24"/>
        </w:rPr>
        <w:t>联系电话：615789</w:t>
      </w:r>
    </w:p>
    <w:p>
      <w:pPr>
        <w:snapToGrid w:val="0"/>
        <w:spacing w:line="400" w:lineRule="exact"/>
        <w:ind w:firstLine="480" w:firstLineChars="200"/>
        <w:rPr>
          <w:rFonts w:ascii="仿宋" w:hAnsi="仿宋" w:eastAsia="仿宋" w:cs="Arial"/>
          <w:sz w:val="24"/>
          <w:u w:val="single"/>
        </w:rPr>
      </w:pPr>
    </w:p>
    <w:p>
      <w:pPr>
        <w:snapToGrid w:val="0"/>
        <w:spacing w:line="400" w:lineRule="exact"/>
        <w:ind w:firstLine="480" w:firstLineChars="200"/>
        <w:rPr>
          <w:rFonts w:ascii="仿宋" w:hAnsi="仿宋" w:eastAsia="仿宋" w:cs="Arial"/>
          <w:sz w:val="24"/>
          <w:u w:val="single"/>
        </w:rPr>
      </w:pPr>
    </w:p>
    <w:p>
      <w:pPr>
        <w:snapToGrid w:val="0"/>
        <w:spacing w:line="400" w:lineRule="exact"/>
        <w:ind w:firstLine="480" w:firstLineChars="200"/>
        <w:rPr>
          <w:rFonts w:ascii="仿宋" w:hAnsi="仿宋" w:eastAsia="仿宋" w:cs="Arial"/>
          <w:sz w:val="24"/>
          <w:u w:val="single"/>
        </w:rPr>
      </w:pPr>
    </w:p>
    <w:p>
      <w:pPr>
        <w:snapToGrid w:val="0"/>
        <w:spacing w:line="400" w:lineRule="exact"/>
        <w:ind w:firstLine="480" w:firstLineChars="200"/>
        <w:rPr>
          <w:rFonts w:ascii="仿宋" w:hAnsi="仿宋" w:eastAsia="仿宋" w:cs="Arial"/>
          <w:sz w:val="24"/>
          <w:u w:val="single"/>
        </w:rPr>
      </w:pPr>
    </w:p>
    <w:p>
      <w:pPr>
        <w:spacing w:line="400" w:lineRule="exact"/>
        <w:ind w:firstLine="4680" w:firstLineChars="1950"/>
        <w:jc w:val="left"/>
        <w:rPr>
          <w:rFonts w:ascii="仿宋" w:hAnsi="仿宋" w:eastAsia="仿宋"/>
          <w:sz w:val="24"/>
        </w:rPr>
      </w:pPr>
      <w:r>
        <w:rPr>
          <w:rFonts w:hint="eastAsia" w:ascii="仿宋" w:hAnsi="仿宋" w:eastAsia="仿宋"/>
          <w:sz w:val="24"/>
        </w:rPr>
        <w:t xml:space="preserve">     二〇二二年十一月二十一日</w:t>
      </w: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r>
        <w:rPr>
          <w:rFonts w:hint="eastAsia"/>
          <w:b/>
          <w:color w:val="000000"/>
          <w:sz w:val="32"/>
          <w:szCs w:val="32"/>
        </w:rPr>
        <w:t>第二部分   投标人须知</w:t>
      </w: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一、总  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（一）项目说明</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1.1 东阳市财政局为本项目的招标人，自愿参加本项目投标的银行为投标人，经评审产生并经批准的投标人为中标人，即2022年第二期东阳市财政性资金竞争性存放合作银行。</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1.2投标人一旦参与本次招标活动，即被视为接受了本招标文件的所有内容,如有任何异议，均应在开标截止时间前提出。</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1.3中标银行在证实书到期日将本金、利息一并转入相应的东阳市财政局财政账户。</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1.4 本次投标涉及的投标利率视为商业秘密，招标结果直接通知中标单位。</w:t>
      </w:r>
    </w:p>
    <w:p>
      <w:pPr>
        <w:spacing w:line="360" w:lineRule="auto"/>
        <w:ind w:firstLine="480" w:firstLineChars="200"/>
        <w:rPr>
          <w:rFonts w:ascii="仿宋_GB2312" w:hAnsi="宋体" w:eastAsia="仿宋_GB2312"/>
          <w:color w:val="000000"/>
          <w:sz w:val="24"/>
        </w:rPr>
      </w:pP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二、招标文件</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（一）招标文件的构成。招标文件由以下部分组成：</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第一部分  招标公告</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第二部分  投标人须知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第三部分  评标办法 </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第四部分  应提交的投标文件格式范例</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（二）投标人的风险</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投标人没有按照招标文件要求提供全部资料，或者投标人没有对招标文件在各方面作出实质性响应是投标人的风险，并可能导致其投标被拒绝。</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（三）招标文件的修改</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招标文件的澄清、答复、修改、补充的内容为招标文件的组成部分。当招标文件与招标文件的澄清、答复、修改、补充通知就同一内容的表述不一致时，以时间在后的公告的书面文件为准。</w:t>
      </w: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三、投标文件的编制</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（一）投标文件的组成</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投标人应提供如下资料：</w:t>
      </w:r>
      <w:r>
        <w:rPr>
          <w:rFonts w:ascii="仿宋_GB2312" w:hAnsi="宋体" w:eastAsia="仿宋_GB2312"/>
          <w:color w:val="000000"/>
          <w:sz w:val="24"/>
        </w:rPr>
        <w:tab/>
      </w:r>
    </w:p>
    <w:p>
      <w:pPr>
        <w:spacing w:line="360" w:lineRule="auto"/>
        <w:ind w:firstLine="480" w:firstLineChars="200"/>
        <w:rPr>
          <w:rFonts w:ascii="仿宋" w:hAnsi="仿宋" w:eastAsia="仿宋"/>
          <w:color w:val="000000"/>
          <w:sz w:val="24"/>
        </w:rPr>
      </w:pPr>
      <w:r>
        <w:rPr>
          <w:rFonts w:hint="eastAsia" w:ascii="仿宋_GB2312" w:hAnsi="宋体" w:eastAsia="仿宋_GB2312"/>
          <w:color w:val="000000"/>
          <w:sz w:val="24"/>
        </w:rPr>
        <w:t>（1）投标银行的法定代表人（或负责人）授权委托书（格</w:t>
      </w:r>
      <w:r>
        <w:rPr>
          <w:rFonts w:hint="eastAsia" w:ascii="仿宋" w:hAnsi="仿宋" w:eastAsia="仿宋"/>
          <w:color w:val="000000"/>
          <w:sz w:val="24"/>
        </w:rPr>
        <w:t>式见附件）及授权代表有效身份证复印件（在</w:t>
      </w:r>
      <w:r>
        <w:rPr>
          <w:rFonts w:hint="eastAsia" w:ascii="仿宋" w:hAnsi="仿宋" w:eastAsia="仿宋"/>
          <w:kern w:val="0"/>
          <w:sz w:val="24"/>
        </w:rPr>
        <w:t>报名时提交）</w:t>
      </w:r>
      <w:r>
        <w:rPr>
          <w:rFonts w:hint="eastAsia" w:ascii="仿宋" w:hAnsi="仿宋" w:eastAsia="仿宋"/>
          <w:color w:val="000000"/>
          <w:sz w:val="24"/>
        </w:rPr>
        <w:t>；</w:t>
      </w:r>
    </w:p>
    <w:p>
      <w:pPr>
        <w:spacing w:line="360" w:lineRule="auto"/>
        <w:ind w:firstLine="480" w:firstLineChars="200"/>
        <w:rPr>
          <w:rFonts w:ascii="仿宋_GB2312" w:hAnsi="宋体" w:eastAsia="仿宋_GB2312"/>
          <w:color w:val="000000"/>
          <w:sz w:val="24"/>
        </w:rPr>
      </w:pPr>
      <w:r>
        <w:rPr>
          <w:rFonts w:hint="eastAsia" w:ascii="仿宋" w:hAnsi="仿宋" w:eastAsia="仿宋"/>
          <w:color w:val="000000"/>
          <w:sz w:val="24"/>
        </w:rPr>
        <w:t>（2）投标银行营业执照复印件加盖公章（以前年</w:t>
      </w:r>
      <w:r>
        <w:rPr>
          <w:rFonts w:hint="eastAsia" w:ascii="仿宋_GB2312" w:hAnsi="宋体" w:eastAsia="仿宋_GB2312"/>
          <w:color w:val="000000"/>
          <w:sz w:val="24"/>
        </w:rPr>
        <w:t>度已提供的不需要再提供）；</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（3）投标银行金融许可证复印件加盖公章（以前年度已提供的不需要再提供）；</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（4）投标银行提供在项目所在地设有分设机构的情况材料加盖公章（营业执照中有东阳字样的不需要提供、以前年度已提供的不需要再提供）；</w:t>
      </w:r>
    </w:p>
    <w:p>
      <w:pPr>
        <w:spacing w:line="360" w:lineRule="auto"/>
        <w:ind w:firstLine="480" w:firstLineChars="200"/>
        <w:rPr>
          <w:rFonts w:ascii="仿宋" w:hAnsi="仿宋" w:eastAsia="仿宋"/>
          <w:color w:val="000000"/>
          <w:sz w:val="24"/>
        </w:rPr>
      </w:pPr>
      <w:r>
        <w:rPr>
          <w:rFonts w:hint="eastAsia" w:ascii="仿宋_GB2312" w:hAnsi="宋体" w:eastAsia="仿宋_GB2312"/>
          <w:color w:val="000000"/>
          <w:sz w:val="24"/>
        </w:rPr>
        <w:t>（5）</w:t>
      </w:r>
      <w:r>
        <w:rPr>
          <w:rFonts w:hint="eastAsia" w:ascii="仿宋" w:hAnsi="仿宋" w:eastAsia="仿宋"/>
          <w:sz w:val="24"/>
        </w:rPr>
        <w:t>廉政承诺书</w:t>
      </w:r>
      <w:r>
        <w:rPr>
          <w:rFonts w:hint="eastAsia" w:ascii="仿宋" w:hAnsi="仿宋" w:eastAsia="仿宋"/>
          <w:color w:val="000000"/>
          <w:sz w:val="24"/>
        </w:rPr>
        <w:t>（格式见附件）</w:t>
      </w:r>
      <w:r>
        <w:rPr>
          <w:rFonts w:hint="eastAsia" w:ascii="仿宋" w:hAnsi="仿宋" w:eastAsia="仿宋"/>
          <w:sz w:val="24"/>
        </w:rPr>
        <w:t>；</w:t>
      </w:r>
    </w:p>
    <w:p>
      <w:pPr>
        <w:spacing w:line="360" w:lineRule="auto"/>
        <w:ind w:firstLine="480" w:firstLineChars="200"/>
        <w:rPr>
          <w:rFonts w:ascii="仿宋_GB2312" w:hAnsi="宋体" w:eastAsia="仿宋_GB2312"/>
          <w:color w:val="000000"/>
          <w:sz w:val="24"/>
        </w:rPr>
      </w:pPr>
      <w:r>
        <w:rPr>
          <w:rFonts w:hint="eastAsia" w:ascii="仿宋" w:hAnsi="仿宋" w:eastAsia="仿宋"/>
          <w:sz w:val="24"/>
        </w:rPr>
        <w:t>（6）竞争性存放承诺函</w:t>
      </w:r>
      <w:r>
        <w:rPr>
          <w:rFonts w:hint="eastAsia" w:ascii="仿宋" w:hAnsi="仿宋" w:eastAsia="仿宋"/>
          <w:color w:val="000000"/>
          <w:sz w:val="24"/>
        </w:rPr>
        <w:t>（格式见附件）</w:t>
      </w:r>
      <w:r>
        <w:rPr>
          <w:rFonts w:hint="eastAsia" w:ascii="仿宋_GB2312" w:hAnsi="宋体" w:eastAsia="仿宋_GB2312"/>
          <w:color w:val="000000"/>
          <w:sz w:val="24"/>
        </w:rPr>
        <w:t>；。</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(二)投标文件的编制和签署</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▲1、投标人应编制投标文件</w:t>
      </w:r>
      <w:r>
        <w:rPr>
          <w:rFonts w:hint="eastAsia" w:ascii="仿宋_GB2312" w:hAnsi="宋体" w:eastAsia="仿宋_GB2312"/>
          <w:color w:val="000000"/>
          <w:sz w:val="24"/>
          <w:u w:val="single"/>
        </w:rPr>
        <w:t>壹式壹份</w:t>
      </w:r>
      <w:r>
        <w:rPr>
          <w:rFonts w:hint="eastAsia" w:ascii="仿宋_GB2312" w:hAnsi="宋体" w:eastAsia="仿宋_GB2312"/>
          <w:color w:val="000000"/>
          <w:sz w:val="24"/>
        </w:rPr>
        <w:t>。</w:t>
      </w:r>
      <w:r>
        <w:rPr>
          <w:rFonts w:hint="eastAsia" w:ascii="仿宋_GB2312" w:hAnsi="宋体" w:eastAsia="仿宋_GB2312"/>
          <w:color w:val="000000"/>
          <w:sz w:val="24"/>
          <w:u w:val="single"/>
        </w:rPr>
        <w:t>投标文件应用订书机装订或胶装成册。投标人对在阅读标书</w:t>
      </w:r>
      <w:r>
        <w:rPr>
          <w:rFonts w:ascii="仿宋_GB2312" w:hAnsi="宋体" w:eastAsia="仿宋_GB2312"/>
          <w:color w:val="000000"/>
          <w:sz w:val="24"/>
          <w:u w:val="single"/>
        </w:rPr>
        <w:t>过程中脱落的投标文件</w:t>
      </w:r>
      <w:r>
        <w:rPr>
          <w:rFonts w:hint="eastAsia" w:ascii="仿宋_GB2312" w:hAnsi="宋体" w:eastAsia="仿宋_GB2312"/>
          <w:color w:val="000000"/>
          <w:sz w:val="24"/>
          <w:u w:val="single"/>
        </w:rPr>
        <w:t>可能产生的后果负全部责任</w:t>
      </w:r>
      <w:r>
        <w:rPr>
          <w:rFonts w:ascii="仿宋_GB2312" w:hAnsi="宋体" w:eastAsia="仿宋_GB2312"/>
          <w:color w:val="000000"/>
          <w:sz w:val="24"/>
          <w:u w:val="single"/>
        </w:rPr>
        <w:t>。</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2、投标文件应使用不能擦去的墨水打印或书写，加盖法人单位公章，并由法定代表人或授权委托人签字。</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3、投标文件应无涂改和行间插字，除非这些删改是根据招标人要求进行。所修改处应由法定代表人（或负责人）或授权委托人签字予以确认。</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4、投标文件应采用A4幅面，须按顺序统一编码装订成册。</w:t>
      </w:r>
    </w:p>
    <w:p>
      <w:pPr>
        <w:spacing w:line="360" w:lineRule="auto"/>
        <w:ind w:left="242" w:hanging="242" w:hangingChars="86"/>
        <w:jc w:val="center"/>
        <w:outlineLvl w:val="0"/>
        <w:rPr>
          <w:rFonts w:ascii="宋体" w:hAnsi="宋体"/>
          <w:b/>
          <w:bCs/>
          <w:color w:val="000000"/>
          <w:sz w:val="28"/>
          <w:szCs w:val="28"/>
        </w:rPr>
      </w:pP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四、投标文件的递交</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(一)投标文件的密封与标志</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1、投标人代表应持法定代表人（负责人）授权委托书和本人身份证件递交投标文件。</w:t>
      </w:r>
    </w:p>
    <w:p>
      <w:pPr>
        <w:spacing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2、投标人应以密封函件形式将投标文件送达招标公告中所述的单位和地址，密封函件所有封口处必须加盖骑缝章。</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（二）投标截止期</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1、投标人应按招标公告规定的时间、地点将投标文件递交给招标人，招标人将拒绝接受逾期送达的投标文件。</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2、招标人可以补充通知的方式，酌情延长递交投标文件的截止日期。在上述情况下，招标人与投标人以前在投标截止期方面的全部权利、责任和义务，将使用于延长至新的投标截止期。</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（三）投标文件的修改</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人递交投标文件以后，在规定的投标截止时间之前，可以书面形式对投标文件进行补充、修改，修改文件须加盖单位公章，并由法定代表人（或负责人）或授权委托人签字盖章，在投标截止时间以后，不能修改、补充投标文件。</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2、投标人的修改文件，应按本须知规定编制、密封、标志和递交，如果一份投标文件有几份函件时，应注明哪一份有效，否则所作修改视为无效。</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3、投标人对投标文件的修改均要加以说明，否则其修改将被视为无效。</w:t>
      </w:r>
    </w:p>
    <w:p>
      <w:pPr>
        <w:spacing w:line="360" w:lineRule="auto"/>
        <w:ind w:left="242" w:hanging="242" w:hangingChars="86"/>
        <w:jc w:val="center"/>
        <w:outlineLvl w:val="0"/>
        <w:rPr>
          <w:rFonts w:ascii="宋体" w:hAnsi="宋体"/>
          <w:b/>
          <w:bCs/>
          <w:color w:val="000000"/>
          <w:sz w:val="28"/>
          <w:szCs w:val="28"/>
        </w:rPr>
      </w:pP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五、开标与评标</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（一）组建评标委员会</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招标人将组建评标委员会，负责对投标文件进行审查、质询、评审和比较等。</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（二）回避制度</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评审前，招标人将要求评标委员会成员确认是否与投标人有利益关系，如有，须申请回避。</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（三）评标的方式</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本项目采用综合评分法评标，评标的依据为招标文件和投标文件。财政资金存放银行次序按综合评分从高到低排序确定，按照综合评分高的原则逐笔募入，直到募满招标额为止。全场投标总额小于或等于当期招标额时，有效投标额全额募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（四）评标程序</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1、资格符合性审查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评标委员会首先对投标人的资格和投标文件的完整性、合法性等进行检查。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2、实质审查与比较</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（1）评标委员会审查投标文件的实质性内容是否符合招标文件的实质性要求。</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（3）评标委员会完成评标后，按照评定原则确定中标单位。  </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(五)投标无效的情形</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1、在资格、符合性审查时，如发现下列情形之一的，投标文件将被视为无效：</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(1)投标文件未经投标单位盖章和投标方代表签章；</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(2)投标文件关键内容字迹不清晰或存在歧义；</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(3)竞标单位有串通投标、弄虚作假、行贿等违法违规行为；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(4)定期存款年利率未按要求保留四位小数的，该标段相应投标无效；</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2、被拒绝的投标文件为无效。</w:t>
      </w:r>
    </w:p>
    <w:p>
      <w:pPr>
        <w:spacing w:line="360" w:lineRule="auto"/>
        <w:ind w:left="242" w:hanging="242" w:hangingChars="86"/>
        <w:jc w:val="center"/>
        <w:outlineLvl w:val="0"/>
        <w:rPr>
          <w:rFonts w:ascii="宋体" w:hAnsi="宋体"/>
          <w:b/>
          <w:bCs/>
          <w:color w:val="000000"/>
          <w:sz w:val="28"/>
          <w:szCs w:val="28"/>
        </w:rPr>
      </w:pPr>
    </w:p>
    <w:p>
      <w:pPr>
        <w:spacing w:line="360" w:lineRule="auto"/>
        <w:ind w:left="242" w:hanging="242" w:hangingChars="86"/>
        <w:jc w:val="center"/>
        <w:outlineLvl w:val="0"/>
        <w:rPr>
          <w:rFonts w:ascii="宋体" w:hAnsi="宋体"/>
          <w:b/>
          <w:bCs/>
          <w:color w:val="000000"/>
          <w:sz w:val="28"/>
          <w:szCs w:val="28"/>
        </w:rPr>
      </w:pPr>
    </w:p>
    <w:p>
      <w:pPr>
        <w:spacing w:line="360" w:lineRule="auto"/>
        <w:ind w:left="242" w:hanging="242" w:hangingChars="86"/>
        <w:jc w:val="center"/>
        <w:outlineLvl w:val="0"/>
        <w:rPr>
          <w:rFonts w:ascii="宋体" w:hAnsi="宋体"/>
          <w:b/>
          <w:bCs/>
          <w:color w:val="000000"/>
          <w:sz w:val="28"/>
          <w:szCs w:val="28"/>
        </w:rPr>
      </w:pPr>
      <w:r>
        <w:rPr>
          <w:rFonts w:hint="eastAsia" w:ascii="宋体" w:hAnsi="宋体"/>
          <w:b/>
          <w:bCs/>
          <w:color w:val="000000"/>
          <w:sz w:val="28"/>
          <w:szCs w:val="28"/>
        </w:rPr>
        <w:t>六、后续事项</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（一）确定中标人</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招标人将依据评定原则择优入选中标单位；</w:t>
      </w:r>
    </w:p>
    <w:p>
      <w:pPr>
        <w:spacing w:line="360" w:lineRule="auto"/>
        <w:ind w:firstLine="480" w:firstLineChars="200"/>
        <w:rPr>
          <w:rFonts w:ascii="仿宋_GB2312" w:eastAsia="仿宋_GB2312"/>
          <w:sz w:val="24"/>
        </w:rPr>
      </w:pPr>
      <w:r>
        <w:rPr>
          <w:rFonts w:hint="eastAsia" w:ascii="仿宋_GB2312" w:hAnsi="宋体" w:eastAsia="仿宋_GB2312"/>
          <w:sz w:val="24"/>
        </w:rPr>
        <w:t>（二）</w:t>
      </w:r>
      <w:r>
        <w:rPr>
          <w:rFonts w:hint="eastAsia" w:ascii="仿宋_GB2312" w:eastAsia="仿宋_GB2312"/>
          <w:sz w:val="24"/>
        </w:rPr>
        <w:t>发放中标通知书及办理资金存放手续</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1、招标人</w:t>
      </w:r>
      <w:r>
        <w:rPr>
          <w:rFonts w:hint="eastAsia" w:ascii="仿宋_GB2312" w:eastAsia="仿宋_GB2312"/>
          <w:sz w:val="24"/>
        </w:rPr>
        <w:t>视实际情况需要决定是否组织相关单位签订财政资金存放协议。若不签订财政资金存放协议，则以中标通知书的约定事项为准</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2、如需</w:t>
      </w:r>
      <w:r>
        <w:rPr>
          <w:rFonts w:hint="eastAsia" w:ascii="仿宋_GB2312" w:eastAsia="仿宋_GB2312"/>
          <w:sz w:val="24"/>
        </w:rPr>
        <w:t>签订财政资金存放协议，</w:t>
      </w:r>
      <w:r>
        <w:rPr>
          <w:rFonts w:hint="eastAsia" w:ascii="仿宋_GB2312" w:hAnsi="宋体" w:eastAsia="仿宋_GB2312"/>
          <w:sz w:val="24"/>
        </w:rPr>
        <w:t>中标人按照协议约定为招标人提供资金存放服务，服务结果须报备招标人。</w:t>
      </w:r>
    </w:p>
    <w:p>
      <w:pPr>
        <w:spacing w:line="560" w:lineRule="exact"/>
        <w:ind w:firstLine="480" w:firstLineChars="200"/>
        <w:jc w:val="left"/>
        <w:rPr>
          <w:rFonts w:ascii="仿宋" w:hAnsi="仿宋" w:eastAsia="仿宋"/>
          <w:sz w:val="24"/>
        </w:rPr>
      </w:pPr>
      <w:r>
        <w:rPr>
          <w:rFonts w:hint="eastAsia" w:ascii="仿宋_GB2312" w:hAnsi="宋体" w:eastAsia="仿宋_GB2312"/>
          <w:sz w:val="24"/>
        </w:rPr>
        <w:t>3、如需</w:t>
      </w:r>
      <w:r>
        <w:rPr>
          <w:rFonts w:hint="eastAsia" w:ascii="仿宋_GB2312" w:eastAsia="仿宋_GB2312"/>
          <w:sz w:val="24"/>
        </w:rPr>
        <w:t>签订财政资金存放协议，</w:t>
      </w:r>
      <w:r>
        <w:rPr>
          <w:rFonts w:hint="eastAsia" w:ascii="仿宋_GB2312" w:hAnsi="宋体" w:eastAsia="仿宋_GB2312"/>
          <w:sz w:val="24"/>
        </w:rPr>
        <w:t>中标人拖延、拒签协议的，将被取消中标资格。</w:t>
      </w:r>
    </w:p>
    <w:p>
      <w:pPr>
        <w:spacing w:line="560" w:lineRule="exact"/>
        <w:jc w:val="left"/>
        <w:rPr>
          <w:rFonts w:ascii="仿宋" w:hAnsi="仿宋" w:eastAsia="仿宋"/>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560" w:lineRule="exact"/>
        <w:jc w:val="left"/>
        <w:rPr>
          <w:rFonts w:ascii="仿宋" w:hAnsi="仿宋" w:eastAsia="仿宋"/>
          <w:b/>
          <w:color w:val="000000"/>
          <w:sz w:val="24"/>
        </w:rPr>
      </w:pPr>
    </w:p>
    <w:p>
      <w:pPr>
        <w:spacing w:line="360" w:lineRule="auto"/>
        <w:ind w:firstLine="2891" w:firstLineChars="900"/>
        <w:rPr>
          <w:rFonts w:ascii="宋体" w:hAnsi="宋体"/>
          <w:b/>
          <w:color w:val="000000"/>
          <w:sz w:val="32"/>
          <w:szCs w:val="32"/>
        </w:rPr>
      </w:pPr>
      <w:r>
        <w:rPr>
          <w:rFonts w:hint="eastAsia" w:ascii="宋体" w:hAnsi="宋体"/>
          <w:b/>
          <w:color w:val="000000"/>
          <w:sz w:val="32"/>
          <w:szCs w:val="32"/>
        </w:rPr>
        <w:t>第三部分    评标办法</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根据《中华人民共和国招标投标法》、《中华人民共和国招标投标法实施条例》、《浙江省招标投标条例》、《东阳市财政性资金竞争性存放管理暂行办法》等法律、法规、规章有关规定，制定本办法。</w:t>
      </w:r>
    </w:p>
    <w:p>
      <w:pPr>
        <w:spacing w:line="360" w:lineRule="auto"/>
        <w:ind w:left="241" w:leftChars="115" w:firstLine="275" w:firstLineChars="98"/>
        <w:outlineLvl w:val="0"/>
        <w:rPr>
          <w:rFonts w:ascii="宋体" w:hAnsi="宋体"/>
          <w:b/>
          <w:bCs/>
          <w:color w:val="000000"/>
          <w:sz w:val="28"/>
          <w:szCs w:val="28"/>
        </w:rPr>
      </w:pPr>
      <w:r>
        <w:rPr>
          <w:rFonts w:hint="eastAsia" w:ascii="宋体" w:hAnsi="宋体"/>
          <w:b/>
          <w:bCs/>
          <w:color w:val="000000"/>
          <w:sz w:val="28"/>
          <w:szCs w:val="28"/>
        </w:rPr>
        <w:t>一、评标原则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评标应遵循公开、公平、公正、科学、择优的原则。</w:t>
      </w:r>
    </w:p>
    <w:p>
      <w:pPr>
        <w:spacing w:line="360" w:lineRule="auto"/>
        <w:ind w:left="241" w:leftChars="115" w:firstLine="275" w:firstLineChars="98"/>
        <w:outlineLvl w:val="0"/>
        <w:rPr>
          <w:rFonts w:ascii="宋体" w:hAnsi="宋体"/>
          <w:b/>
          <w:bCs/>
          <w:color w:val="000000"/>
          <w:sz w:val="28"/>
          <w:szCs w:val="28"/>
        </w:rPr>
      </w:pPr>
      <w:r>
        <w:rPr>
          <w:rFonts w:hint="eastAsia" w:ascii="宋体" w:hAnsi="宋体"/>
          <w:b/>
          <w:bCs/>
          <w:color w:val="000000"/>
          <w:sz w:val="28"/>
          <w:szCs w:val="28"/>
        </w:rPr>
        <w:t>二、评标组织</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评标工作由招标人依法组建的评标委员会负责，评标委员会成员为5人以上单数，评标委员会成员应严格执行利益回避的相关规定。</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评标委员会应推举产生评标委员会负责人，负责组织评标、掌握评标进程、主持询标、编写评标报告等工作，评标委员会负责人与其他成员具有同等的权利。评标委员会成员对所提出的评审意见承担个人责任。</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评标委员会应当按照招标文件及有关工作方案确定的评标标准和方法，客观、公正对投标文件进行评审和比较。</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评标委员会对投标文件作出的评审结论，应当符合有关法律、法规、规章和招标文件等规定。</w:t>
      </w:r>
    </w:p>
    <w:p>
      <w:pPr>
        <w:spacing w:line="360" w:lineRule="auto"/>
        <w:ind w:left="241" w:leftChars="115" w:firstLine="275" w:firstLineChars="98"/>
        <w:outlineLvl w:val="0"/>
        <w:rPr>
          <w:rFonts w:ascii="宋体" w:hAnsi="宋体"/>
          <w:b/>
          <w:bCs/>
          <w:color w:val="000000"/>
          <w:sz w:val="28"/>
          <w:szCs w:val="28"/>
        </w:rPr>
      </w:pPr>
      <w:r>
        <w:rPr>
          <w:rFonts w:hint="eastAsia" w:ascii="宋体" w:hAnsi="宋体"/>
          <w:b/>
          <w:bCs/>
          <w:color w:val="000000"/>
          <w:sz w:val="28"/>
          <w:szCs w:val="28"/>
        </w:rPr>
        <w:t>三、评标程序</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 熟悉招标文件和评标办法；</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 投标文件评审；</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 必要时对投标文件中的问题进行询标，包括拟作出否决投标决定前对相关投标人进行询问核实；</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 推荐中标候选人；</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5. 完成评标报告。</w:t>
      </w:r>
    </w:p>
    <w:p>
      <w:pPr>
        <w:spacing w:line="360" w:lineRule="auto"/>
        <w:ind w:left="241" w:leftChars="115" w:firstLine="275" w:firstLineChars="98"/>
        <w:outlineLvl w:val="0"/>
        <w:rPr>
          <w:rFonts w:ascii="宋体" w:hAnsi="宋体"/>
          <w:b/>
          <w:bCs/>
          <w:color w:val="000000"/>
          <w:sz w:val="28"/>
          <w:szCs w:val="28"/>
        </w:rPr>
      </w:pPr>
      <w:r>
        <w:rPr>
          <w:rFonts w:hint="eastAsia" w:ascii="宋体" w:hAnsi="宋体"/>
          <w:b/>
          <w:bCs/>
          <w:color w:val="000000"/>
          <w:sz w:val="28"/>
          <w:szCs w:val="28"/>
        </w:rPr>
        <w:t>四、投标文件评审</w:t>
      </w:r>
    </w:p>
    <w:p>
      <w:pPr>
        <w:spacing w:line="360" w:lineRule="auto"/>
        <w:ind w:firstLine="480" w:firstLineChars="200"/>
        <w:outlineLvl w:val="0"/>
        <w:rPr>
          <w:rFonts w:ascii="仿宋_GB2312" w:hAnsi="宋体" w:eastAsia="仿宋_GB2312"/>
          <w:color w:val="000000"/>
          <w:sz w:val="24"/>
        </w:rPr>
      </w:pPr>
      <w:r>
        <w:rPr>
          <w:rFonts w:hint="eastAsia" w:ascii="仿宋_GB2312" w:hAnsi="宋体" w:eastAsia="仿宋_GB2312"/>
          <w:color w:val="000000"/>
          <w:sz w:val="24"/>
        </w:rPr>
        <w:t>（一）详细评审</w:t>
      </w:r>
    </w:p>
    <w:p>
      <w:pPr>
        <w:spacing w:line="360" w:lineRule="auto"/>
        <w:ind w:firstLine="480" w:firstLineChars="200"/>
        <w:outlineLvl w:val="0"/>
        <w:rPr>
          <w:rFonts w:ascii="仿宋_GB2312" w:hAnsi="宋体" w:eastAsia="仿宋_GB2312"/>
          <w:color w:val="000000"/>
          <w:sz w:val="24"/>
        </w:rPr>
      </w:pPr>
      <w:r>
        <w:rPr>
          <w:rFonts w:hint="eastAsia" w:ascii="仿宋_GB2312" w:hAnsi="宋体" w:eastAsia="仿宋_GB2312"/>
          <w:color w:val="000000"/>
          <w:sz w:val="24"/>
        </w:rPr>
        <w:t>1. 评标委员会对全部投标文件进行符合性评审。评审内容包括：投标人符合性审查、投标标的审查两个部分。</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如评标委员会发现投标文件存在招标文件投标人须知中否决投标的情形之一的，经询问核实并认定后，即判定该投标文件符合性审查不通过予以否决。</w:t>
      </w:r>
    </w:p>
    <w:p>
      <w:pPr>
        <w:spacing w:line="360" w:lineRule="auto"/>
        <w:ind w:firstLine="480" w:firstLineChars="200"/>
        <w:outlineLvl w:val="0"/>
        <w:rPr>
          <w:rFonts w:ascii="仿宋_GB2312" w:hAnsi="宋体" w:eastAsia="仿宋_GB2312"/>
          <w:color w:val="000000"/>
          <w:sz w:val="24"/>
        </w:rPr>
      </w:pPr>
      <w:r>
        <w:rPr>
          <w:rFonts w:hint="eastAsia" w:ascii="仿宋_GB2312" w:hAnsi="宋体" w:eastAsia="仿宋_GB2312"/>
          <w:color w:val="000000"/>
          <w:sz w:val="24"/>
        </w:rPr>
        <w:t>2. 询标</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（1）投标文件中有含义不明确、对同类问题表达不一致或者有明显文字和计算错误的内容，评标委员会认为需要投标人作出必要澄清、说明的，应当组织询标。</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凡是评标委员会拟做出否决投标认定的，应组织相关投标人询问核实。未进行询问核实程序的，不得做出否决投标的认定，投标人放弃询问核实机会的除外（投标人所留联系方式无法联系上、在规定的时限内投标人不参加询问核实活动或不予答复的）。</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（3）评标委员会不得暗示或者诱导投标人作出澄清、说明，不得接受投标人主动提出的澄清、说明。</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（4）投标人不得通过补充、修改或撤消投标文件中的内容使其成为实质性响应的投标，投标人在投标截止时间以后不得提交任何资料作为评标依据。</w:t>
      </w:r>
    </w:p>
    <w:p>
      <w:pPr>
        <w:spacing w:line="360" w:lineRule="auto"/>
        <w:ind w:firstLine="410" w:firstLineChars="146"/>
        <w:outlineLvl w:val="0"/>
        <w:rPr>
          <w:rFonts w:ascii="宋体" w:hAnsi="宋体"/>
          <w:b/>
          <w:bCs/>
          <w:color w:val="000000"/>
          <w:sz w:val="28"/>
          <w:szCs w:val="28"/>
        </w:rPr>
      </w:pPr>
      <w:r>
        <w:rPr>
          <w:rFonts w:hint="eastAsia" w:ascii="宋体" w:hAnsi="宋体"/>
          <w:b/>
          <w:bCs/>
          <w:color w:val="000000"/>
          <w:sz w:val="28"/>
          <w:szCs w:val="28"/>
        </w:rPr>
        <w:t>五、推荐中标人</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财政资金存放招投标遵循综合评分优先的原则。存放银行次序按综合评分从高到低排序确定，逐笔募入，直到募满招标额为止。全场投标总额小于或等于当期招标额时，有效投标额全额募入。</w:t>
      </w:r>
    </w:p>
    <w:p>
      <w:pPr>
        <w:spacing w:line="360" w:lineRule="auto"/>
        <w:ind w:left="241" w:leftChars="115" w:firstLine="275" w:firstLineChars="98"/>
        <w:outlineLvl w:val="0"/>
        <w:rPr>
          <w:rFonts w:ascii="宋体" w:hAnsi="宋体"/>
          <w:b/>
          <w:bCs/>
          <w:color w:val="000000"/>
          <w:sz w:val="28"/>
          <w:szCs w:val="28"/>
        </w:rPr>
      </w:pPr>
      <w:r>
        <w:rPr>
          <w:rFonts w:hint="eastAsia" w:ascii="宋体" w:hAnsi="宋体"/>
          <w:b/>
          <w:bCs/>
          <w:color w:val="000000"/>
          <w:sz w:val="28"/>
          <w:szCs w:val="28"/>
        </w:rPr>
        <w:t>六、评标报告</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评标委员会应当向招标人提交书面评标报告。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（二）评标报告应包括以下内容：</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1. 开标记录；</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 评标内容、过程和结果；</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3. 询标澄清纪要；</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4. 否决投标情况说明及依据；</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5. 推荐中标人；</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6. 其他建议。</w:t>
      </w:r>
    </w:p>
    <w:p>
      <w:pPr>
        <w:autoSpaceDE w:val="0"/>
        <w:autoSpaceDN w:val="0"/>
        <w:spacing w:line="360" w:lineRule="auto"/>
        <w:textAlignment w:val="bottom"/>
        <w:rPr>
          <w:color w:val="000000"/>
          <w:sz w:val="24"/>
        </w:rPr>
      </w:pPr>
    </w:p>
    <w:p>
      <w:pPr>
        <w:autoSpaceDE w:val="0"/>
        <w:autoSpaceDN w:val="0"/>
        <w:spacing w:line="440" w:lineRule="exact"/>
        <w:textAlignment w:val="bottom"/>
        <w:rPr>
          <w:b/>
          <w:color w:val="000000"/>
          <w:sz w:val="32"/>
          <w:szCs w:val="32"/>
        </w:rPr>
      </w:pPr>
    </w:p>
    <w:p>
      <w:pPr>
        <w:autoSpaceDE w:val="0"/>
        <w:autoSpaceDN w:val="0"/>
        <w:spacing w:line="440" w:lineRule="exact"/>
        <w:jc w:val="center"/>
        <w:textAlignment w:val="bottom"/>
        <w:rPr>
          <w:b/>
          <w:color w:val="000000"/>
          <w:sz w:val="32"/>
          <w:szCs w:val="32"/>
        </w:rPr>
      </w:pPr>
    </w:p>
    <w:p>
      <w:pPr>
        <w:autoSpaceDE w:val="0"/>
        <w:autoSpaceDN w:val="0"/>
        <w:spacing w:line="440" w:lineRule="exact"/>
        <w:jc w:val="center"/>
        <w:textAlignment w:val="bottom"/>
        <w:rPr>
          <w:b/>
          <w:color w:val="000000"/>
          <w:sz w:val="32"/>
          <w:szCs w:val="32"/>
        </w:rPr>
      </w:pPr>
      <w:r>
        <w:rPr>
          <w:rFonts w:hint="eastAsia"/>
          <w:b/>
          <w:color w:val="000000"/>
          <w:sz w:val="32"/>
          <w:szCs w:val="32"/>
        </w:rPr>
        <w:t>第四部分  应提交的投标文件部分格式范例</w:t>
      </w:r>
    </w:p>
    <w:p>
      <w:pPr>
        <w:spacing w:line="360" w:lineRule="exact"/>
        <w:jc w:val="center"/>
        <w:rPr>
          <w:rFonts w:ascii="宋体" w:hAnsi="宋体"/>
          <w:color w:val="000000"/>
          <w:sz w:val="24"/>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廉政承诺书</w:t>
      </w:r>
    </w:p>
    <w:p>
      <w:pPr>
        <w:spacing w:line="520" w:lineRule="exact"/>
        <w:rPr>
          <w:rFonts w:ascii="仿宋" w:hAnsi="仿宋" w:eastAsia="仿宋" w:cs="仿宋"/>
          <w:sz w:val="32"/>
          <w:szCs w:val="32"/>
          <w:u w:val="single"/>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东阳市  </w:t>
      </w:r>
      <w:r>
        <w:rPr>
          <w:rFonts w:hint="eastAsia" w:ascii="仿宋_GB2312" w:hAnsi="仿宋_GB2312" w:eastAsia="仿宋_GB2312" w:cs="仿宋_GB2312"/>
          <w:sz w:val="32"/>
          <w:szCs w:val="32"/>
        </w:rPr>
        <w:t>财政局：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根据《财政部关于进一步加强财政部门和预算单位资金存放管理的指导意见》（财库﹝2017﹞76号）、《浙江省财政专户资金存放管理实施办法》（浙财预执[2017]86号）相关规定，现就本行参加贵单位</w:t>
      </w:r>
      <w:r>
        <w:rPr>
          <w:rFonts w:hint="eastAsia" w:ascii="仿宋_GB2312" w:hAnsi="仿宋_GB2312" w:eastAsia="仿宋_GB2312" w:cs="仿宋_GB2312"/>
          <w:sz w:val="32"/>
          <w:szCs w:val="32"/>
          <w:u w:val="single"/>
        </w:rPr>
        <w:t xml:space="preserve"> 二</w:t>
      </w:r>
      <w:r>
        <w:rPr>
          <w:rFonts w:hint="eastAsia" w:ascii="宋体" w:hAnsi="宋体" w:cs="宋体"/>
          <w:sz w:val="32"/>
          <w:szCs w:val="32"/>
          <w:u w:val="single"/>
        </w:rPr>
        <w:t>〇</w:t>
      </w:r>
      <w:r>
        <w:rPr>
          <w:rFonts w:hint="eastAsia" w:ascii="仿宋_GB2312" w:hAnsi="仿宋_GB2312" w:eastAsia="仿宋_GB2312" w:cs="仿宋_GB2312"/>
          <w:sz w:val="32"/>
          <w:szCs w:val="32"/>
          <w:u w:val="single"/>
        </w:rPr>
        <w:t xml:space="preserve">二二 </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u w:val="single"/>
        </w:rPr>
        <w:t xml:space="preserve"> 三 </w:t>
      </w:r>
      <w:r>
        <w:rPr>
          <w:rFonts w:hint="eastAsia" w:ascii="仿宋_GB2312" w:hAnsi="仿宋_GB2312" w:eastAsia="仿宋_GB2312" w:cs="仿宋_GB2312"/>
          <w:sz w:val="32"/>
          <w:szCs w:val="32"/>
        </w:rPr>
        <w:t>期财政专户资</w:t>
      </w:r>
      <w:r>
        <w:rPr>
          <w:rFonts w:hint="eastAsia" w:ascii="仿宋_GB2312" w:hAnsi="仿宋" w:eastAsia="仿宋_GB2312" w:cs="仿宋_GB2312"/>
          <w:sz w:val="32"/>
          <w:szCs w:val="32"/>
        </w:rPr>
        <w:t>金</w:t>
      </w:r>
      <w:r>
        <w:rPr>
          <w:rFonts w:hint="eastAsia" w:ascii="仿宋_GB2312" w:hAnsi="仿宋_GB2312" w:eastAsia="仿宋_GB2312" w:cs="仿宋_GB2312"/>
          <w:sz w:val="32"/>
          <w:szCs w:val="32"/>
        </w:rPr>
        <w:t>存放作出如下承诺：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1.不向贵单位负责财政专户资金存放管理的领导及相关人员进行利益输送；</w:t>
      </w:r>
    </w:p>
    <w:p>
      <w:pPr>
        <w:numPr>
          <w:ilvl w:val="0"/>
          <w:numId w:val="3"/>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不将财政专户资金存放与贵单位负责资金存放管理的领导及相关人员在本行的配偶、子女及其配偶和其他直接利益相关人员的业绩、收入、晋升挂钩；</w:t>
      </w:r>
    </w:p>
    <w:p>
      <w:pPr>
        <w:spacing w:line="520" w:lineRule="exact"/>
        <w:ind w:firstLine="419" w:firstLineChars="13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3.严格执行利益回避制度，贵单位负责专户资金竞争性存放相关人员的配偶、子女及其配偶和其他直接利益相关人员为本行工作人员的，不参与财政专户资金竞争性存放工作；</w:t>
      </w:r>
    </w:p>
    <w:p>
      <w:pPr>
        <w:spacing w:line="520"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4.不发生除上述行为之外的其他任何利益输送行为。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未遵守以上承诺的，本行自愿接受财政部门通报和处理，承担相应的一切后果。</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wordWrap w:val="0"/>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银行（公章）    </w:t>
      </w:r>
    </w:p>
    <w:p>
      <w:pPr>
        <w:wordWrap w:val="0"/>
        <w:spacing w:line="560" w:lineRule="exact"/>
        <w:rPr>
          <w:rFonts w:ascii="仿宋_GB2312" w:eastAsia="仿宋_GB2312"/>
          <w:sz w:val="30"/>
        </w:rPr>
      </w:pPr>
      <w:r>
        <w:rPr>
          <w:rFonts w:hint="eastAsia" w:ascii="仿宋_GB2312" w:hAnsi="仿宋_GB2312" w:eastAsia="仿宋_GB2312" w:cs="仿宋_GB2312"/>
          <w:sz w:val="32"/>
          <w:szCs w:val="32"/>
        </w:rPr>
        <w:t xml:space="preserve">                                   年  月  日</w:t>
      </w:r>
    </w:p>
    <w:p/>
    <w:p>
      <w:pPr>
        <w:spacing w:line="520" w:lineRule="exact"/>
        <w:jc w:val="center"/>
        <w:rPr>
          <w:rFonts w:ascii="宋体" w:hAnsi="宋体"/>
          <w:b/>
          <w:color w:val="000000"/>
          <w:sz w:val="44"/>
          <w:szCs w:val="44"/>
        </w:rPr>
      </w:pPr>
    </w:p>
    <w:p>
      <w:pPr>
        <w:spacing w:line="520" w:lineRule="exact"/>
        <w:jc w:val="center"/>
        <w:rPr>
          <w:rFonts w:ascii="宋体" w:hAnsi="宋体"/>
          <w:b/>
          <w:color w:val="000000"/>
          <w:sz w:val="44"/>
          <w:szCs w:val="44"/>
        </w:rPr>
      </w:pPr>
    </w:p>
    <w:p>
      <w:pPr>
        <w:spacing w:line="520" w:lineRule="exact"/>
        <w:jc w:val="center"/>
        <w:rPr>
          <w:rFonts w:ascii="宋体" w:hAnsi="宋体"/>
          <w:b/>
          <w:color w:val="000000"/>
          <w:sz w:val="44"/>
          <w:szCs w:val="44"/>
        </w:rPr>
      </w:pPr>
    </w:p>
    <w:p>
      <w:pPr>
        <w:spacing w:line="520" w:lineRule="exact"/>
        <w:jc w:val="center"/>
        <w:rPr>
          <w:rFonts w:ascii="宋体" w:hAnsi="宋体"/>
          <w:b/>
          <w:color w:val="000000"/>
          <w:sz w:val="44"/>
          <w:szCs w:val="44"/>
        </w:rPr>
      </w:pPr>
      <w:r>
        <w:rPr>
          <w:rFonts w:hint="eastAsia" w:ascii="宋体" w:hAnsi="宋体"/>
          <w:b/>
          <w:color w:val="000000"/>
          <w:sz w:val="44"/>
          <w:szCs w:val="44"/>
        </w:rPr>
        <w:t>法定代表人（负责人）授权委托书</w:t>
      </w:r>
    </w:p>
    <w:p>
      <w:pPr>
        <w:spacing w:line="360" w:lineRule="exact"/>
        <w:jc w:val="center"/>
        <w:rPr>
          <w:rFonts w:ascii="宋体" w:hAnsi="宋体"/>
          <w:bCs/>
          <w:color w:val="000000"/>
          <w:sz w:val="28"/>
          <w:szCs w:val="28"/>
        </w:rPr>
      </w:pPr>
    </w:p>
    <w:p>
      <w:pPr>
        <w:spacing w:line="520" w:lineRule="exact"/>
        <w:rPr>
          <w:rFonts w:ascii="仿宋_GB2312" w:hAnsi="宋体" w:eastAsia="仿宋_GB2312"/>
          <w:color w:val="000000"/>
          <w:sz w:val="30"/>
          <w:szCs w:val="30"/>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东阳市财政局：</w:t>
      </w:r>
    </w:p>
    <w:p>
      <w:pPr>
        <w:spacing w:line="520" w:lineRule="exact"/>
        <w:ind w:firstLine="600" w:firstLineChars="200"/>
        <w:rPr>
          <w:rFonts w:ascii="仿宋_GB2312" w:hAnsi="宋体" w:eastAsia="仿宋_GB2312"/>
          <w:color w:val="000000"/>
          <w:sz w:val="30"/>
          <w:szCs w:val="30"/>
        </w:rPr>
      </w:pP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我</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（姓名）系</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（投标人名称）的法定代表人（或负责人），现授权委托本单位在职职工</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（姓名）以我方的名义参加贵单位组织的</w:t>
      </w:r>
      <w:r>
        <w:rPr>
          <w:rFonts w:hint="eastAsia" w:ascii="仿宋_GB2312" w:hAnsi="宋体" w:eastAsia="仿宋_GB2312"/>
          <w:color w:val="000000"/>
          <w:sz w:val="30"/>
          <w:szCs w:val="30"/>
          <w:u w:val="single"/>
        </w:rPr>
        <w:t xml:space="preserve">                     </w:t>
      </w:r>
      <w:r>
        <w:rPr>
          <w:rFonts w:hint="eastAsia" w:ascii="仿宋_GB2312" w:hAnsi="仿宋" w:eastAsia="仿宋_GB2312"/>
          <w:sz w:val="30"/>
          <w:szCs w:val="30"/>
        </w:rPr>
        <w:t>二</w:t>
      </w:r>
      <w:r>
        <w:rPr>
          <w:rFonts w:hint="eastAsia" w:ascii="宋体" w:hAnsi="宋体" w:cs="宋体"/>
          <w:sz w:val="30"/>
          <w:szCs w:val="30"/>
        </w:rPr>
        <w:t>〇</w:t>
      </w:r>
      <w:r>
        <w:rPr>
          <w:rFonts w:hint="eastAsia" w:ascii="仿宋_GB2312" w:hAnsi="仿宋_GB2312" w:eastAsia="仿宋_GB2312" w:cs="仿宋_GB2312"/>
          <w:sz w:val="30"/>
          <w:szCs w:val="30"/>
        </w:rPr>
        <w:t>二二年第三期</w:t>
      </w:r>
      <w:r>
        <w:rPr>
          <w:rFonts w:hint="eastAsia" w:ascii="仿宋_GB2312" w:hAnsi="仿宋" w:eastAsia="仿宋_GB2312"/>
          <w:color w:val="000000"/>
          <w:sz w:val="30"/>
          <w:szCs w:val="30"/>
        </w:rPr>
        <w:t>财政</w:t>
      </w:r>
      <w:r>
        <w:rPr>
          <w:rFonts w:hint="eastAsia" w:ascii="仿宋_GB2312" w:hAnsi="宋体" w:eastAsia="仿宋_GB2312"/>
          <w:color w:val="000000"/>
          <w:sz w:val="30"/>
          <w:szCs w:val="30"/>
        </w:rPr>
        <w:t>资金竞争性存放，并代表我方全权办理针对上述项目的投标、评标、签约等具体事务和签署相关文件。</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我方对被授权人的签名事项负全部责任。</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在撤销授权的书面通知以前，本授权书一直有效。被授权人在授权书有效期内签署的所有文件不因授权的撤销而失效。</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被授权人无转委托权，特此委托。</w:t>
      </w:r>
    </w:p>
    <w:p>
      <w:pPr>
        <w:spacing w:line="520" w:lineRule="exact"/>
        <w:ind w:firstLine="600" w:firstLineChars="200"/>
        <w:rPr>
          <w:rFonts w:ascii="仿宋_GB2312" w:hAnsi="宋体" w:eastAsia="仿宋_GB2312"/>
          <w:color w:val="000000"/>
          <w:sz w:val="30"/>
          <w:szCs w:val="30"/>
        </w:rPr>
      </w:pPr>
    </w:p>
    <w:p>
      <w:pPr>
        <w:spacing w:line="520" w:lineRule="exact"/>
        <w:ind w:firstLine="600" w:firstLineChars="200"/>
        <w:rPr>
          <w:rFonts w:ascii="仿宋_GB2312" w:hAnsi="宋体" w:eastAsia="仿宋_GB2312"/>
          <w:color w:val="000000"/>
          <w:sz w:val="30"/>
          <w:szCs w:val="30"/>
        </w:rPr>
      </w:pPr>
    </w:p>
    <w:p>
      <w:pPr>
        <w:spacing w:line="520" w:lineRule="exact"/>
        <w:ind w:firstLine="600" w:firstLineChars="200"/>
        <w:rPr>
          <w:rFonts w:ascii="仿宋_GB2312" w:hAnsi="宋体" w:eastAsia="仿宋_GB2312"/>
          <w:color w:val="000000"/>
          <w:sz w:val="30"/>
          <w:szCs w:val="30"/>
        </w:rPr>
      </w:pP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投标人名称（盖章）:</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被授权人签名：</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 xml:space="preserve">  </w:t>
      </w:r>
      <w:r>
        <w:rPr>
          <w:rFonts w:hint="eastAsia" w:ascii="仿宋_GB2312" w:hAnsi="宋体" w:eastAsia="仿宋_GB2312"/>
          <w:color w:val="000000"/>
          <w:sz w:val="30"/>
          <w:szCs w:val="30"/>
        </w:rPr>
        <w:tab/>
      </w:r>
      <w:r>
        <w:rPr>
          <w:rFonts w:hint="eastAsia" w:ascii="仿宋_GB2312" w:hAnsi="宋体" w:eastAsia="仿宋_GB2312"/>
          <w:color w:val="000000"/>
          <w:sz w:val="30"/>
          <w:szCs w:val="30"/>
        </w:rPr>
        <w:tab/>
      </w:r>
      <w:r>
        <w:rPr>
          <w:rFonts w:hint="eastAsia" w:ascii="仿宋_GB2312" w:hAnsi="宋体" w:eastAsia="仿宋_GB2312"/>
          <w:color w:val="000000"/>
          <w:sz w:val="30"/>
          <w:szCs w:val="30"/>
        </w:rPr>
        <w:t xml:space="preserve">法定代表人 </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 xml:space="preserve">        职务：</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 xml:space="preserve">  </w:t>
      </w:r>
      <w:r>
        <w:rPr>
          <w:rFonts w:hint="eastAsia" w:ascii="仿宋_GB2312" w:hAnsi="宋体" w:eastAsia="仿宋_GB2312"/>
          <w:color w:val="000000"/>
          <w:sz w:val="30"/>
          <w:szCs w:val="30"/>
        </w:rPr>
        <w:tab/>
      </w:r>
      <w:r>
        <w:rPr>
          <w:rFonts w:hint="eastAsia" w:ascii="仿宋_GB2312" w:hAnsi="宋体" w:eastAsia="仿宋_GB2312"/>
          <w:color w:val="000000"/>
          <w:sz w:val="30"/>
          <w:szCs w:val="30"/>
        </w:rPr>
        <w:tab/>
      </w:r>
      <w:r>
        <w:rPr>
          <w:rFonts w:hint="eastAsia" w:ascii="仿宋_GB2312" w:hAnsi="宋体" w:eastAsia="仿宋_GB2312"/>
          <w:color w:val="000000"/>
          <w:sz w:val="30"/>
          <w:szCs w:val="30"/>
        </w:rPr>
        <w:t>（或负责人）签名：</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被授权人身份证号码：</w:t>
      </w:r>
      <w:r>
        <w:rPr>
          <w:rFonts w:hint="eastAsia" w:ascii="仿宋_GB2312" w:hAnsi="宋体" w:eastAsia="仿宋_GB2312"/>
          <w:color w:val="000000"/>
          <w:sz w:val="30"/>
          <w:szCs w:val="30"/>
          <w:u w:val="single"/>
        </w:rPr>
        <w:t xml:space="preserve">                        </w:t>
      </w:r>
      <w:r>
        <w:rPr>
          <w:rFonts w:hint="eastAsia" w:ascii="仿宋_GB2312" w:hAnsi="宋体" w:eastAsia="仿宋_GB2312"/>
          <w:color w:val="000000"/>
          <w:sz w:val="30"/>
          <w:szCs w:val="30"/>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▲（注：须提供被授权代表身份证复印件）</w:t>
      </w:r>
    </w:p>
    <w:p/>
    <w:p/>
    <w:p/>
    <w:p/>
    <w:p/>
    <w:p>
      <w:pPr>
        <w:spacing w:line="520" w:lineRule="exact"/>
        <w:jc w:val="center"/>
        <w:rPr>
          <w:rFonts w:asciiTheme="minorEastAsia" w:hAnsiTheme="minorEastAsia" w:eastAsiaTheme="minorEastAsia"/>
          <w:b/>
          <w:sz w:val="44"/>
          <w:szCs w:val="44"/>
        </w:rPr>
      </w:pPr>
    </w:p>
    <w:p>
      <w:pPr>
        <w:spacing w:line="520" w:lineRule="exact"/>
        <w:jc w:val="center"/>
        <w:rPr>
          <w:rFonts w:asciiTheme="minorEastAsia" w:hAnsiTheme="minorEastAsia" w:eastAsiaTheme="minorEastAsia"/>
          <w:b/>
          <w:sz w:val="44"/>
          <w:szCs w:val="44"/>
        </w:rPr>
      </w:pPr>
    </w:p>
    <w:p>
      <w:pPr>
        <w:spacing w:line="520" w:lineRule="exact"/>
        <w:jc w:val="center"/>
        <w:rPr>
          <w:rFonts w:asciiTheme="minorEastAsia" w:hAnsiTheme="minorEastAsia" w:eastAsiaTheme="minorEastAsia"/>
          <w:b/>
          <w:sz w:val="44"/>
          <w:szCs w:val="44"/>
        </w:rPr>
      </w:pPr>
    </w:p>
    <w:p>
      <w:pPr>
        <w:spacing w:line="520" w:lineRule="exact"/>
        <w:jc w:val="center"/>
        <w:rPr>
          <w:rFonts w:ascii="宋体" w:hAnsi="宋体"/>
          <w:b/>
          <w:color w:val="000000"/>
          <w:sz w:val="44"/>
          <w:szCs w:val="44"/>
        </w:rPr>
      </w:pPr>
      <w:r>
        <w:rPr>
          <w:rFonts w:hint="eastAsia" w:asciiTheme="minorEastAsia" w:hAnsiTheme="minorEastAsia" w:eastAsiaTheme="minorEastAsia"/>
          <w:b/>
          <w:sz w:val="44"/>
          <w:szCs w:val="44"/>
        </w:rPr>
        <w:t>二〇二二年第三期</w:t>
      </w:r>
      <w:r>
        <w:rPr>
          <w:rFonts w:hint="eastAsia" w:ascii="宋体" w:hAnsi="宋体"/>
          <w:b/>
          <w:color w:val="000000"/>
          <w:sz w:val="44"/>
          <w:szCs w:val="44"/>
        </w:rPr>
        <w:t>竞争性存放承诺函</w:t>
      </w:r>
    </w:p>
    <w:p>
      <w:pPr>
        <w:autoSpaceDE w:val="0"/>
        <w:autoSpaceDN w:val="0"/>
        <w:spacing w:line="440" w:lineRule="exact"/>
        <w:jc w:val="center"/>
        <w:textAlignment w:val="bottom"/>
        <w:rPr>
          <w:rFonts w:ascii="宋体" w:hAnsi="宋体"/>
          <w:color w:val="000000"/>
          <w:szCs w:val="21"/>
        </w:rPr>
      </w:pPr>
      <w:r>
        <w:rPr>
          <w:rFonts w:hint="eastAsia" w:ascii="宋体" w:hAnsi="宋体"/>
          <w:color w:val="000000"/>
          <w:szCs w:val="21"/>
        </w:rPr>
        <w:t>标一</w:t>
      </w:r>
    </w:p>
    <w:p>
      <w:pPr>
        <w:autoSpaceDE w:val="0"/>
        <w:autoSpaceDN w:val="0"/>
        <w:spacing w:line="440" w:lineRule="exact"/>
        <w:textAlignment w:val="bottom"/>
        <w:rPr>
          <w:rFonts w:ascii="宋体" w:hAnsi="宋体"/>
          <w:color w:val="000000"/>
          <w:szCs w:val="21"/>
        </w:rPr>
      </w:pPr>
      <w:r>
        <w:rPr>
          <w:rFonts w:hint="eastAsia" w:ascii="宋体" w:hAnsi="宋体"/>
          <w:color w:val="000000"/>
          <w:szCs w:val="21"/>
        </w:rPr>
        <w:t xml:space="preserve">（单位：万元）      </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275"/>
        <w:gridCol w:w="12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526" w:type="dxa"/>
            <w:shd w:val="clear" w:color="auto" w:fill="auto"/>
            <w:vAlign w:val="center"/>
          </w:tcPr>
          <w:p>
            <w:pPr>
              <w:spacing w:line="560" w:lineRule="exact"/>
              <w:jc w:val="center"/>
              <w:rPr>
                <w:rFonts w:ascii="仿宋" w:hAnsi="仿宋" w:eastAsia="仿宋"/>
                <w:b/>
                <w:szCs w:val="21"/>
              </w:rPr>
            </w:pPr>
            <w:r>
              <w:rPr>
                <w:rFonts w:hint="eastAsia" w:ascii="仿宋" w:hAnsi="仿宋" w:eastAsia="仿宋"/>
                <w:b/>
                <w:szCs w:val="21"/>
              </w:rPr>
              <w:t>定期存款期限</w:t>
            </w:r>
          </w:p>
        </w:tc>
        <w:tc>
          <w:tcPr>
            <w:tcW w:w="1276" w:type="dxa"/>
            <w:shd w:val="clear" w:color="auto" w:fill="auto"/>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3年</w:t>
            </w:r>
          </w:p>
        </w:tc>
        <w:tc>
          <w:tcPr>
            <w:tcW w:w="1275" w:type="dxa"/>
            <w:shd w:val="clear" w:color="auto" w:fill="auto"/>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2年</w:t>
            </w:r>
          </w:p>
        </w:tc>
        <w:tc>
          <w:tcPr>
            <w:tcW w:w="1276" w:type="dxa"/>
            <w:vAlign w:val="center"/>
          </w:tcPr>
          <w:p>
            <w:pPr>
              <w:spacing w:line="400" w:lineRule="exact"/>
              <w:jc w:val="center"/>
              <w:rPr>
                <w:rFonts w:ascii="仿宋" w:hAnsi="仿宋" w:eastAsia="仿宋"/>
                <w:b/>
                <w:color w:val="000000"/>
                <w:sz w:val="24"/>
              </w:rPr>
            </w:pPr>
            <w:r>
              <w:rPr>
                <w:rFonts w:hint="eastAsia" w:ascii="仿宋" w:hAnsi="仿宋" w:eastAsia="仿宋"/>
                <w:b/>
                <w:color w:val="000000"/>
                <w:sz w:val="24"/>
              </w:rPr>
              <w:t>1年</w:t>
            </w:r>
          </w:p>
        </w:tc>
        <w:tc>
          <w:tcPr>
            <w:tcW w:w="3119" w:type="dxa"/>
            <w:shd w:val="clear" w:color="auto" w:fill="auto"/>
            <w:vAlign w:val="center"/>
          </w:tcPr>
          <w:p>
            <w:pPr>
              <w:spacing w:line="56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526" w:type="dxa"/>
            <w:shd w:val="clear" w:color="auto" w:fill="auto"/>
            <w:vAlign w:val="center"/>
          </w:tcPr>
          <w:p>
            <w:pPr>
              <w:spacing w:line="560" w:lineRule="exact"/>
              <w:jc w:val="center"/>
              <w:rPr>
                <w:rFonts w:ascii="仿宋" w:hAnsi="仿宋" w:eastAsia="仿宋"/>
                <w:b/>
                <w:szCs w:val="21"/>
              </w:rPr>
            </w:pPr>
            <w:r>
              <w:rPr>
                <w:rFonts w:hint="eastAsia" w:ascii="仿宋" w:hAnsi="仿宋" w:eastAsia="仿宋"/>
                <w:sz w:val="24"/>
              </w:rPr>
              <w:t>招标资金量</w:t>
            </w:r>
          </w:p>
        </w:tc>
        <w:tc>
          <w:tcPr>
            <w:tcW w:w="1276"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15000</w:t>
            </w:r>
          </w:p>
        </w:tc>
        <w:tc>
          <w:tcPr>
            <w:tcW w:w="1275"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26000</w:t>
            </w:r>
          </w:p>
        </w:tc>
        <w:tc>
          <w:tcPr>
            <w:tcW w:w="127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16000</w:t>
            </w:r>
          </w:p>
        </w:tc>
        <w:tc>
          <w:tcPr>
            <w:tcW w:w="3119" w:type="dxa"/>
            <w:shd w:val="clear" w:color="auto" w:fill="auto"/>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26" w:type="dxa"/>
            <w:shd w:val="clear" w:color="auto" w:fill="auto"/>
          </w:tcPr>
          <w:p>
            <w:pPr>
              <w:spacing w:line="560" w:lineRule="exact"/>
              <w:jc w:val="center"/>
              <w:rPr>
                <w:rFonts w:ascii="仿宋" w:hAnsi="仿宋" w:eastAsia="仿宋"/>
                <w:sz w:val="24"/>
              </w:rPr>
            </w:pPr>
            <w:r>
              <w:rPr>
                <w:rFonts w:hint="eastAsia" w:ascii="仿宋" w:hAnsi="仿宋" w:eastAsia="仿宋"/>
                <w:sz w:val="24"/>
              </w:rPr>
              <w:t>投标金额</w:t>
            </w:r>
          </w:p>
        </w:tc>
        <w:tc>
          <w:tcPr>
            <w:tcW w:w="1276" w:type="dxa"/>
            <w:shd w:val="clear" w:color="auto" w:fill="auto"/>
          </w:tcPr>
          <w:p>
            <w:pPr>
              <w:spacing w:line="560" w:lineRule="exact"/>
              <w:jc w:val="center"/>
              <w:rPr>
                <w:rFonts w:ascii="仿宋" w:hAnsi="仿宋" w:eastAsia="仿宋"/>
                <w:sz w:val="24"/>
              </w:rPr>
            </w:pPr>
          </w:p>
        </w:tc>
        <w:tc>
          <w:tcPr>
            <w:tcW w:w="1275" w:type="dxa"/>
            <w:shd w:val="clear" w:color="auto" w:fill="auto"/>
          </w:tcPr>
          <w:p>
            <w:pPr>
              <w:spacing w:line="560" w:lineRule="exact"/>
              <w:jc w:val="center"/>
              <w:rPr>
                <w:rFonts w:ascii="仿宋" w:hAnsi="仿宋" w:eastAsia="仿宋"/>
                <w:sz w:val="24"/>
              </w:rPr>
            </w:pPr>
          </w:p>
        </w:tc>
        <w:tc>
          <w:tcPr>
            <w:tcW w:w="1276" w:type="dxa"/>
          </w:tcPr>
          <w:p>
            <w:pPr>
              <w:spacing w:line="560" w:lineRule="exact"/>
              <w:jc w:val="center"/>
              <w:rPr>
                <w:rFonts w:ascii="仿宋" w:hAnsi="仿宋" w:eastAsia="仿宋"/>
                <w:sz w:val="24"/>
              </w:rPr>
            </w:pPr>
          </w:p>
        </w:tc>
        <w:tc>
          <w:tcPr>
            <w:tcW w:w="3119" w:type="dxa"/>
            <w:shd w:val="clear" w:color="auto" w:fill="auto"/>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526" w:type="dxa"/>
            <w:shd w:val="clear" w:color="auto" w:fill="auto"/>
          </w:tcPr>
          <w:p>
            <w:pPr>
              <w:spacing w:line="560" w:lineRule="exact"/>
              <w:jc w:val="center"/>
              <w:rPr>
                <w:rFonts w:ascii="仿宋" w:hAnsi="仿宋" w:eastAsia="仿宋"/>
                <w:sz w:val="24"/>
              </w:rPr>
            </w:pPr>
            <w:r>
              <w:rPr>
                <w:rFonts w:hint="eastAsia" w:ascii="仿宋" w:hAnsi="仿宋" w:eastAsia="仿宋"/>
                <w:sz w:val="24"/>
              </w:rPr>
              <w:t>投标利率（年利率%）</w:t>
            </w:r>
          </w:p>
        </w:tc>
        <w:tc>
          <w:tcPr>
            <w:tcW w:w="1276" w:type="dxa"/>
            <w:shd w:val="clear" w:color="auto" w:fill="auto"/>
          </w:tcPr>
          <w:p>
            <w:pPr>
              <w:spacing w:line="560" w:lineRule="exact"/>
              <w:jc w:val="center"/>
              <w:rPr>
                <w:rFonts w:ascii="仿宋" w:hAnsi="仿宋" w:eastAsia="仿宋"/>
                <w:sz w:val="24"/>
              </w:rPr>
            </w:pPr>
          </w:p>
        </w:tc>
        <w:tc>
          <w:tcPr>
            <w:tcW w:w="1275" w:type="dxa"/>
            <w:shd w:val="clear" w:color="auto" w:fill="auto"/>
          </w:tcPr>
          <w:p>
            <w:pPr>
              <w:spacing w:line="560" w:lineRule="exact"/>
              <w:jc w:val="center"/>
              <w:rPr>
                <w:rFonts w:ascii="仿宋" w:hAnsi="仿宋" w:eastAsia="仿宋"/>
                <w:sz w:val="24"/>
              </w:rPr>
            </w:pPr>
          </w:p>
        </w:tc>
        <w:tc>
          <w:tcPr>
            <w:tcW w:w="1276" w:type="dxa"/>
          </w:tcPr>
          <w:p>
            <w:pPr>
              <w:spacing w:line="560" w:lineRule="exact"/>
              <w:jc w:val="center"/>
              <w:rPr>
                <w:rFonts w:ascii="仿宋" w:hAnsi="仿宋" w:eastAsia="仿宋"/>
                <w:sz w:val="24"/>
              </w:rPr>
            </w:pPr>
          </w:p>
        </w:tc>
        <w:tc>
          <w:tcPr>
            <w:tcW w:w="3119" w:type="dxa"/>
            <w:shd w:val="clear" w:color="auto" w:fill="auto"/>
          </w:tcPr>
          <w:p>
            <w:pPr>
              <w:spacing w:line="560" w:lineRule="exact"/>
              <w:jc w:val="center"/>
              <w:rPr>
                <w:rFonts w:ascii="仿宋" w:hAnsi="仿宋" w:eastAsia="仿宋"/>
                <w:sz w:val="24"/>
              </w:rPr>
            </w:pPr>
          </w:p>
        </w:tc>
      </w:tr>
    </w:tbl>
    <w:p>
      <w:pPr>
        <w:autoSpaceDE w:val="0"/>
        <w:autoSpaceDN w:val="0"/>
        <w:spacing w:line="440" w:lineRule="exact"/>
        <w:textAlignment w:val="bottom"/>
        <w:rPr>
          <w:rFonts w:ascii="仿宋" w:hAnsi="仿宋" w:eastAsia="仿宋"/>
          <w:color w:val="000000"/>
          <w:sz w:val="24"/>
        </w:rPr>
      </w:pPr>
      <w:r>
        <w:rPr>
          <w:rFonts w:hint="eastAsia" w:ascii="仿宋" w:hAnsi="仿宋" w:eastAsia="仿宋"/>
          <w:color w:val="000000"/>
          <w:sz w:val="24"/>
        </w:rPr>
        <w:t>注：1、本表 “投标金额”为1000万元的整数倍，并不超过相应的“招标资金量”, 否则</w:t>
      </w:r>
      <w:r>
        <w:rPr>
          <w:rFonts w:hint="eastAsia" w:ascii="仿宋" w:hAnsi="仿宋" w:eastAsia="仿宋"/>
          <w:sz w:val="24"/>
        </w:rPr>
        <w:t>该标段相应投标无效；每个标段最后一名中标金额可能小于1000万元，对资金量有特殊要求的在备注上详细注明；</w:t>
      </w: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2、定期存款投标利率必须保留4位小数，不需要加“百分号%”，否则</w:t>
      </w:r>
      <w:r>
        <w:rPr>
          <w:rFonts w:hint="eastAsia" w:ascii="仿宋" w:hAnsi="仿宋" w:eastAsia="仿宋"/>
          <w:sz w:val="24"/>
        </w:rPr>
        <w:t>该标段相应投标无效</w:t>
      </w:r>
      <w:r>
        <w:rPr>
          <w:rFonts w:hint="eastAsia" w:ascii="仿宋" w:hAnsi="仿宋" w:eastAsia="仿宋"/>
          <w:color w:val="000000"/>
          <w:sz w:val="24"/>
        </w:rPr>
        <w:t>。</w:t>
      </w:r>
    </w:p>
    <w:p>
      <w:pPr>
        <w:spacing w:line="360" w:lineRule="auto"/>
        <w:ind w:firstLine="360" w:firstLineChars="150"/>
        <w:rPr>
          <w:rFonts w:ascii="仿宋" w:hAnsi="仿宋" w:eastAsia="仿宋"/>
          <w:color w:val="000000"/>
          <w:sz w:val="24"/>
        </w:rPr>
      </w:pPr>
      <w:r>
        <w:rPr>
          <w:rFonts w:hint="eastAsia" w:ascii="仿宋" w:hAnsi="仿宋" w:eastAsia="仿宋"/>
          <w:color w:val="000000"/>
          <w:sz w:val="24"/>
        </w:rPr>
        <w:t xml:space="preserve"> 3、无条件服从资金调配指令，自收到调配指令起24小时内完成资金支付。</w:t>
      </w:r>
    </w:p>
    <w:p>
      <w:pPr>
        <w:autoSpaceDE w:val="0"/>
        <w:autoSpaceDN w:val="0"/>
        <w:spacing w:line="440" w:lineRule="exact"/>
        <w:ind w:firstLine="470" w:firstLineChars="196"/>
        <w:textAlignment w:val="bottom"/>
        <w:rPr>
          <w:rFonts w:ascii="仿宋" w:hAnsi="仿宋" w:eastAsia="仿宋"/>
          <w:color w:val="000000"/>
          <w:sz w:val="24"/>
        </w:rPr>
      </w:pPr>
      <w:r>
        <w:rPr>
          <w:rFonts w:hint="eastAsia" w:ascii="仿宋" w:hAnsi="仿宋" w:eastAsia="仿宋"/>
          <w:color w:val="000000"/>
          <w:sz w:val="24"/>
        </w:rPr>
        <w:t>4、我行不以此次取得财政资金所作承诺为依据，向贷款客户提出任何附加费用要求。</w:t>
      </w:r>
    </w:p>
    <w:p>
      <w:pPr>
        <w:autoSpaceDE w:val="0"/>
        <w:autoSpaceDN w:val="0"/>
        <w:spacing w:line="440" w:lineRule="exact"/>
        <w:ind w:firstLine="470" w:firstLineChars="196"/>
        <w:textAlignment w:val="bottom"/>
        <w:rPr>
          <w:rFonts w:ascii="仿宋" w:hAnsi="仿宋" w:eastAsia="仿宋"/>
          <w:color w:val="000000"/>
          <w:sz w:val="24"/>
        </w:rPr>
      </w:pPr>
      <w:r>
        <w:rPr>
          <w:rFonts w:hint="eastAsia" w:ascii="仿宋" w:hAnsi="仿宋" w:eastAsia="仿宋"/>
          <w:color w:val="000000"/>
          <w:sz w:val="24"/>
        </w:rPr>
        <w:t>5、我行保证财政专户资金定期存款不属于任何理财产品，并承担所有到期支付责任。</w:t>
      </w:r>
    </w:p>
    <w:p>
      <w:pPr>
        <w:autoSpaceDE w:val="0"/>
        <w:autoSpaceDN w:val="0"/>
        <w:spacing w:line="440" w:lineRule="exact"/>
        <w:ind w:firstLine="472" w:firstLineChars="196"/>
        <w:textAlignment w:val="bottom"/>
        <w:rPr>
          <w:rFonts w:ascii="仿宋" w:hAnsi="仿宋" w:eastAsia="仿宋"/>
          <w:color w:val="000000"/>
          <w:sz w:val="24"/>
        </w:rPr>
      </w:pPr>
      <w:r>
        <w:rPr>
          <w:rFonts w:hint="eastAsia" w:ascii="仿宋" w:hAnsi="仿宋" w:eastAsia="仿宋"/>
          <w:b/>
          <w:sz w:val="24"/>
        </w:rPr>
        <w:t>投标人承诺</w:t>
      </w:r>
      <w:r>
        <w:rPr>
          <w:rFonts w:hint="eastAsia" w:ascii="仿宋" w:hAnsi="仿宋" w:eastAsia="仿宋"/>
          <w:sz w:val="24"/>
        </w:rPr>
        <w:t>：如本行中标，存款人实际存放资金时，本行将按上表中投标利率予以办理。自中标日至存款人实际存放期间，遇人民银行基准利率发生调整的，实际存放时利率不低于同等“加点BP”利率水平执行，即利率=存放时人民银行基准利率+中标投标利率的加点BP</w:t>
      </w:r>
      <w:r>
        <w:rPr>
          <w:rFonts w:hint="eastAsia" w:ascii="仿宋" w:hAnsi="仿宋" w:eastAsia="仿宋"/>
          <w:color w:val="000000"/>
          <w:sz w:val="24"/>
        </w:rPr>
        <w:t>。</w:t>
      </w:r>
    </w:p>
    <w:p>
      <w:pPr>
        <w:spacing w:line="520" w:lineRule="exact"/>
        <w:ind w:left="3180" w:firstLine="480" w:firstLineChars="200"/>
        <w:rPr>
          <w:rFonts w:ascii="仿宋" w:hAnsi="仿宋" w:eastAsia="仿宋"/>
          <w:color w:val="000000"/>
          <w:sz w:val="24"/>
        </w:rPr>
      </w:pPr>
    </w:p>
    <w:p>
      <w:pPr>
        <w:spacing w:line="520" w:lineRule="exact"/>
        <w:ind w:left="3180" w:firstLine="480" w:firstLineChars="200"/>
        <w:rPr>
          <w:rFonts w:ascii="仿宋" w:hAnsi="仿宋" w:eastAsia="仿宋"/>
          <w:color w:val="000000"/>
          <w:sz w:val="24"/>
        </w:rPr>
      </w:pPr>
      <w:r>
        <w:rPr>
          <w:rFonts w:hint="eastAsia" w:ascii="仿宋" w:hAnsi="仿宋" w:eastAsia="仿宋"/>
          <w:color w:val="000000"/>
          <w:sz w:val="24"/>
        </w:rPr>
        <w:t>投标人名称（盖章）：</w:t>
      </w:r>
    </w:p>
    <w:p>
      <w:pPr>
        <w:spacing w:line="520" w:lineRule="exact"/>
        <w:ind w:left="5071" w:leftChars="586" w:hanging="3840" w:hangingChars="1600"/>
        <w:jc w:val="left"/>
        <w:rPr>
          <w:rFonts w:ascii="仿宋" w:hAnsi="仿宋" w:eastAsia="仿宋"/>
          <w:color w:val="000000"/>
          <w:sz w:val="24"/>
        </w:rPr>
      </w:pPr>
      <w:r>
        <w:rPr>
          <w:rFonts w:hint="eastAsia" w:ascii="仿宋" w:hAnsi="仿宋" w:eastAsia="仿宋"/>
          <w:color w:val="000000"/>
          <w:sz w:val="24"/>
        </w:rPr>
        <w:t>法定代表（或负责人）或授权代表（签字）：                                      日 期：</w:t>
      </w:r>
    </w:p>
    <w:p>
      <w:pPr>
        <w:spacing w:line="520" w:lineRule="exact"/>
        <w:jc w:val="center"/>
        <w:rPr>
          <w:rFonts w:asciiTheme="minorEastAsia" w:hAnsiTheme="minorEastAsia" w:eastAsiaTheme="minorEastAsia"/>
          <w:b/>
          <w:sz w:val="44"/>
          <w:szCs w:val="44"/>
        </w:rPr>
      </w:pPr>
    </w:p>
    <w:p>
      <w:pPr>
        <w:spacing w:line="520" w:lineRule="exact"/>
        <w:jc w:val="center"/>
        <w:rPr>
          <w:rFonts w:asciiTheme="minorEastAsia" w:hAnsiTheme="minorEastAsia" w:eastAsiaTheme="minorEastAsia"/>
          <w:b/>
          <w:sz w:val="44"/>
          <w:szCs w:val="44"/>
        </w:rPr>
      </w:pPr>
    </w:p>
    <w:p>
      <w:pPr>
        <w:spacing w:line="520" w:lineRule="exact"/>
        <w:jc w:val="center"/>
        <w:rPr>
          <w:rFonts w:ascii="宋体" w:hAnsi="宋体"/>
          <w:b/>
          <w:color w:val="000000"/>
          <w:sz w:val="44"/>
          <w:szCs w:val="44"/>
        </w:rPr>
      </w:pPr>
      <w:r>
        <w:rPr>
          <w:rFonts w:hint="eastAsia" w:asciiTheme="minorEastAsia" w:hAnsiTheme="minorEastAsia" w:eastAsiaTheme="minorEastAsia"/>
          <w:b/>
          <w:sz w:val="44"/>
          <w:szCs w:val="44"/>
        </w:rPr>
        <w:t>二〇二二年第三期</w:t>
      </w:r>
      <w:r>
        <w:rPr>
          <w:rFonts w:hint="eastAsia" w:ascii="宋体" w:hAnsi="宋体"/>
          <w:b/>
          <w:color w:val="000000"/>
          <w:sz w:val="44"/>
          <w:szCs w:val="44"/>
        </w:rPr>
        <w:t>竞争性存放承诺函</w:t>
      </w:r>
    </w:p>
    <w:p>
      <w:pPr>
        <w:autoSpaceDE w:val="0"/>
        <w:autoSpaceDN w:val="0"/>
        <w:spacing w:line="440" w:lineRule="exact"/>
        <w:jc w:val="center"/>
        <w:textAlignment w:val="bottom"/>
        <w:rPr>
          <w:rFonts w:ascii="宋体" w:hAnsi="宋体"/>
          <w:color w:val="000000"/>
          <w:szCs w:val="21"/>
        </w:rPr>
      </w:pPr>
      <w:r>
        <w:rPr>
          <w:rFonts w:hint="eastAsia" w:ascii="宋体" w:hAnsi="宋体"/>
          <w:color w:val="000000"/>
          <w:szCs w:val="21"/>
        </w:rPr>
        <w:t>标二</w:t>
      </w:r>
    </w:p>
    <w:p>
      <w:pPr>
        <w:autoSpaceDE w:val="0"/>
        <w:autoSpaceDN w:val="0"/>
        <w:spacing w:line="440" w:lineRule="exact"/>
        <w:textAlignment w:val="bottom"/>
        <w:rPr>
          <w:rFonts w:ascii="宋体" w:hAnsi="宋体"/>
          <w:color w:val="000000"/>
          <w:szCs w:val="21"/>
        </w:rPr>
      </w:pPr>
      <w:r>
        <w:rPr>
          <w:rFonts w:hint="eastAsia" w:ascii="宋体" w:hAnsi="宋体"/>
          <w:color w:val="000000"/>
          <w:szCs w:val="21"/>
        </w:rPr>
        <w:t xml:space="preserve">（单位：万元）      </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198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802" w:type="dxa"/>
            <w:shd w:val="clear" w:color="auto" w:fill="auto"/>
            <w:vAlign w:val="center"/>
          </w:tcPr>
          <w:p>
            <w:pPr>
              <w:spacing w:line="560" w:lineRule="exact"/>
              <w:jc w:val="center"/>
              <w:rPr>
                <w:rFonts w:ascii="仿宋" w:hAnsi="仿宋" w:eastAsia="仿宋"/>
                <w:b/>
                <w:szCs w:val="21"/>
              </w:rPr>
            </w:pPr>
            <w:r>
              <w:rPr>
                <w:rFonts w:hint="eastAsia" w:ascii="仿宋" w:hAnsi="仿宋" w:eastAsia="仿宋"/>
                <w:b/>
                <w:szCs w:val="21"/>
              </w:rPr>
              <w:t>定期存款期限</w:t>
            </w:r>
          </w:p>
        </w:tc>
        <w:tc>
          <w:tcPr>
            <w:tcW w:w="1984" w:type="dxa"/>
            <w:shd w:val="clear" w:color="auto" w:fill="auto"/>
            <w:vAlign w:val="center"/>
          </w:tcPr>
          <w:p>
            <w:pPr>
              <w:spacing w:line="560" w:lineRule="exact"/>
              <w:jc w:val="center"/>
              <w:rPr>
                <w:rFonts w:ascii="仿宋" w:hAnsi="仿宋" w:eastAsia="仿宋"/>
                <w:b/>
                <w:sz w:val="24"/>
              </w:rPr>
            </w:pPr>
            <w:r>
              <w:rPr>
                <w:rFonts w:hint="eastAsia" w:ascii="仿宋" w:hAnsi="仿宋" w:eastAsia="仿宋"/>
                <w:b/>
                <w:sz w:val="24"/>
              </w:rPr>
              <w:t>1年</w:t>
            </w:r>
          </w:p>
        </w:tc>
        <w:tc>
          <w:tcPr>
            <w:tcW w:w="3544" w:type="dxa"/>
            <w:shd w:val="clear" w:color="auto" w:fill="auto"/>
            <w:vAlign w:val="center"/>
          </w:tcPr>
          <w:p>
            <w:pPr>
              <w:spacing w:line="56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802" w:type="dxa"/>
            <w:shd w:val="clear" w:color="auto" w:fill="auto"/>
            <w:vAlign w:val="center"/>
          </w:tcPr>
          <w:p>
            <w:pPr>
              <w:spacing w:line="560" w:lineRule="exact"/>
              <w:jc w:val="center"/>
              <w:rPr>
                <w:rFonts w:ascii="仿宋" w:hAnsi="仿宋" w:eastAsia="仿宋"/>
                <w:b/>
                <w:szCs w:val="21"/>
              </w:rPr>
            </w:pPr>
            <w:r>
              <w:rPr>
                <w:rFonts w:hint="eastAsia" w:ascii="仿宋" w:hAnsi="仿宋" w:eastAsia="仿宋"/>
                <w:sz w:val="24"/>
              </w:rPr>
              <w:t>招标资金量</w:t>
            </w:r>
          </w:p>
        </w:tc>
        <w:tc>
          <w:tcPr>
            <w:tcW w:w="1984" w:type="dxa"/>
            <w:shd w:val="clear" w:color="auto" w:fill="auto"/>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1700</w:t>
            </w:r>
          </w:p>
        </w:tc>
        <w:tc>
          <w:tcPr>
            <w:tcW w:w="3544" w:type="dxa"/>
            <w:shd w:val="clear" w:color="auto" w:fill="auto"/>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02" w:type="dxa"/>
            <w:shd w:val="clear" w:color="auto" w:fill="auto"/>
          </w:tcPr>
          <w:p>
            <w:pPr>
              <w:spacing w:line="560" w:lineRule="exact"/>
              <w:jc w:val="center"/>
              <w:rPr>
                <w:rFonts w:ascii="仿宋" w:hAnsi="仿宋" w:eastAsia="仿宋"/>
                <w:sz w:val="24"/>
              </w:rPr>
            </w:pPr>
            <w:r>
              <w:rPr>
                <w:rFonts w:hint="eastAsia" w:ascii="仿宋" w:hAnsi="仿宋" w:eastAsia="仿宋"/>
                <w:sz w:val="24"/>
              </w:rPr>
              <w:t>投标金额</w:t>
            </w:r>
          </w:p>
        </w:tc>
        <w:tc>
          <w:tcPr>
            <w:tcW w:w="1984" w:type="dxa"/>
            <w:shd w:val="clear" w:color="auto" w:fill="auto"/>
          </w:tcPr>
          <w:p>
            <w:pPr>
              <w:spacing w:line="560" w:lineRule="exact"/>
              <w:jc w:val="center"/>
              <w:rPr>
                <w:rFonts w:ascii="仿宋" w:hAnsi="仿宋" w:eastAsia="仿宋"/>
                <w:sz w:val="24"/>
              </w:rPr>
            </w:pPr>
          </w:p>
        </w:tc>
        <w:tc>
          <w:tcPr>
            <w:tcW w:w="3544" w:type="dxa"/>
            <w:shd w:val="clear" w:color="auto" w:fill="auto"/>
          </w:tcPr>
          <w:p>
            <w:pPr>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802" w:type="dxa"/>
            <w:shd w:val="clear" w:color="auto" w:fill="auto"/>
          </w:tcPr>
          <w:p>
            <w:pPr>
              <w:spacing w:line="560" w:lineRule="exact"/>
              <w:jc w:val="center"/>
              <w:rPr>
                <w:rFonts w:ascii="仿宋" w:hAnsi="仿宋" w:eastAsia="仿宋"/>
                <w:sz w:val="24"/>
              </w:rPr>
            </w:pPr>
            <w:r>
              <w:rPr>
                <w:rFonts w:hint="eastAsia" w:ascii="仿宋" w:hAnsi="仿宋" w:eastAsia="仿宋"/>
                <w:sz w:val="24"/>
              </w:rPr>
              <w:t>投标利率（年利率%）</w:t>
            </w:r>
          </w:p>
        </w:tc>
        <w:tc>
          <w:tcPr>
            <w:tcW w:w="1984" w:type="dxa"/>
            <w:shd w:val="clear" w:color="auto" w:fill="auto"/>
          </w:tcPr>
          <w:p>
            <w:pPr>
              <w:spacing w:line="560" w:lineRule="exact"/>
              <w:jc w:val="center"/>
              <w:rPr>
                <w:rFonts w:ascii="仿宋" w:hAnsi="仿宋" w:eastAsia="仿宋"/>
                <w:sz w:val="24"/>
              </w:rPr>
            </w:pPr>
          </w:p>
        </w:tc>
        <w:tc>
          <w:tcPr>
            <w:tcW w:w="3544" w:type="dxa"/>
            <w:shd w:val="clear" w:color="auto" w:fill="auto"/>
          </w:tcPr>
          <w:p>
            <w:pPr>
              <w:spacing w:line="560" w:lineRule="exact"/>
              <w:jc w:val="center"/>
              <w:rPr>
                <w:rFonts w:ascii="仿宋" w:hAnsi="仿宋" w:eastAsia="仿宋"/>
                <w:sz w:val="24"/>
              </w:rPr>
            </w:pPr>
          </w:p>
        </w:tc>
      </w:tr>
    </w:tbl>
    <w:p>
      <w:pPr>
        <w:autoSpaceDE w:val="0"/>
        <w:autoSpaceDN w:val="0"/>
        <w:spacing w:line="440" w:lineRule="exact"/>
        <w:textAlignment w:val="bottom"/>
        <w:rPr>
          <w:rFonts w:ascii="仿宋" w:hAnsi="仿宋" w:eastAsia="仿宋"/>
          <w:color w:val="000000"/>
          <w:sz w:val="24"/>
        </w:rPr>
      </w:pPr>
      <w:r>
        <w:rPr>
          <w:rFonts w:hint="eastAsia" w:ascii="仿宋" w:hAnsi="仿宋" w:eastAsia="仿宋"/>
          <w:color w:val="000000"/>
          <w:sz w:val="24"/>
        </w:rPr>
        <w:t>注：1、本表 “投标金额”为1700万元， 否则</w:t>
      </w:r>
      <w:r>
        <w:rPr>
          <w:rFonts w:hint="eastAsia" w:ascii="仿宋" w:hAnsi="仿宋" w:eastAsia="仿宋"/>
          <w:sz w:val="24"/>
        </w:rPr>
        <w:t>该标段相应投标无效；</w:t>
      </w: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2、定期存款投标利率必须保留4位小数，不需要加“百分号%”，否则</w:t>
      </w:r>
      <w:r>
        <w:rPr>
          <w:rFonts w:hint="eastAsia" w:ascii="仿宋" w:hAnsi="仿宋" w:eastAsia="仿宋"/>
          <w:sz w:val="24"/>
        </w:rPr>
        <w:t>该标段相应投标无效</w:t>
      </w:r>
      <w:r>
        <w:rPr>
          <w:rFonts w:hint="eastAsia" w:ascii="仿宋" w:hAnsi="仿宋" w:eastAsia="仿宋"/>
          <w:color w:val="000000"/>
          <w:sz w:val="24"/>
        </w:rPr>
        <w:t>。</w:t>
      </w:r>
    </w:p>
    <w:p>
      <w:pPr>
        <w:spacing w:line="360" w:lineRule="auto"/>
        <w:ind w:firstLine="360" w:firstLineChars="150"/>
        <w:rPr>
          <w:rFonts w:ascii="仿宋" w:hAnsi="仿宋" w:eastAsia="仿宋"/>
          <w:color w:val="000000"/>
          <w:sz w:val="24"/>
        </w:rPr>
      </w:pPr>
      <w:r>
        <w:rPr>
          <w:rFonts w:hint="eastAsia" w:ascii="仿宋" w:hAnsi="仿宋" w:eastAsia="仿宋"/>
          <w:color w:val="000000"/>
          <w:sz w:val="24"/>
        </w:rPr>
        <w:t xml:space="preserve"> 3、无条件服从资金调配指令，自收到调配指令起24小时内完成资金支付。</w:t>
      </w:r>
    </w:p>
    <w:p>
      <w:pPr>
        <w:autoSpaceDE w:val="0"/>
        <w:autoSpaceDN w:val="0"/>
        <w:spacing w:line="440" w:lineRule="exact"/>
        <w:ind w:firstLine="470" w:firstLineChars="196"/>
        <w:textAlignment w:val="bottom"/>
        <w:rPr>
          <w:rFonts w:ascii="仿宋" w:hAnsi="仿宋" w:eastAsia="仿宋"/>
          <w:color w:val="000000"/>
          <w:sz w:val="24"/>
        </w:rPr>
      </w:pPr>
      <w:r>
        <w:rPr>
          <w:rFonts w:hint="eastAsia" w:ascii="仿宋" w:hAnsi="仿宋" w:eastAsia="仿宋"/>
          <w:color w:val="000000"/>
          <w:sz w:val="24"/>
        </w:rPr>
        <w:t>4、我行不以此次取得财政资金所作承诺为依据，向贷款客户提出任何附加费用要求。</w:t>
      </w:r>
    </w:p>
    <w:p>
      <w:pPr>
        <w:autoSpaceDE w:val="0"/>
        <w:autoSpaceDN w:val="0"/>
        <w:spacing w:line="440" w:lineRule="exact"/>
        <w:ind w:firstLine="470" w:firstLineChars="196"/>
        <w:textAlignment w:val="bottom"/>
        <w:rPr>
          <w:rFonts w:ascii="仿宋" w:hAnsi="仿宋" w:eastAsia="仿宋"/>
          <w:color w:val="000000"/>
          <w:sz w:val="24"/>
        </w:rPr>
      </w:pPr>
      <w:r>
        <w:rPr>
          <w:rFonts w:hint="eastAsia" w:ascii="仿宋" w:hAnsi="仿宋" w:eastAsia="仿宋"/>
          <w:color w:val="000000"/>
          <w:sz w:val="24"/>
        </w:rPr>
        <w:t>5、我行保证财政专户资金定期存款不属于任何理财产品，并承担所有到期支付责任。</w:t>
      </w:r>
    </w:p>
    <w:p>
      <w:pPr>
        <w:autoSpaceDE w:val="0"/>
        <w:autoSpaceDN w:val="0"/>
        <w:spacing w:line="440" w:lineRule="exact"/>
        <w:ind w:firstLine="472" w:firstLineChars="196"/>
        <w:textAlignment w:val="bottom"/>
        <w:rPr>
          <w:rFonts w:ascii="仿宋" w:hAnsi="仿宋" w:eastAsia="仿宋"/>
          <w:color w:val="000000"/>
          <w:sz w:val="24"/>
        </w:rPr>
      </w:pPr>
      <w:r>
        <w:rPr>
          <w:rFonts w:hint="eastAsia" w:ascii="仿宋" w:hAnsi="仿宋" w:eastAsia="仿宋"/>
          <w:b/>
          <w:sz w:val="24"/>
        </w:rPr>
        <w:t>投标人承诺</w:t>
      </w:r>
      <w:r>
        <w:rPr>
          <w:rFonts w:hint="eastAsia" w:ascii="仿宋" w:hAnsi="仿宋" w:eastAsia="仿宋"/>
          <w:sz w:val="24"/>
        </w:rPr>
        <w:t>：如本行中标，存款人实际存放资金时，本行将按上表中投标利率予以办理。自中标日至存款人实际存放期间，遇人民银行基准利率发生调整的，实际存放时利率不低于同等“加点BP”利率水平执行，即利率=存放时人民银行基准利率+中标投标利率的加点BP</w:t>
      </w:r>
      <w:r>
        <w:rPr>
          <w:rFonts w:hint="eastAsia" w:ascii="仿宋" w:hAnsi="仿宋" w:eastAsia="仿宋"/>
          <w:color w:val="000000"/>
          <w:sz w:val="24"/>
        </w:rPr>
        <w:t>。</w:t>
      </w:r>
    </w:p>
    <w:p>
      <w:pPr>
        <w:spacing w:line="520" w:lineRule="exact"/>
        <w:ind w:left="3180" w:firstLine="480" w:firstLineChars="200"/>
        <w:rPr>
          <w:rFonts w:ascii="仿宋" w:hAnsi="仿宋" w:eastAsia="仿宋"/>
          <w:color w:val="000000"/>
          <w:sz w:val="24"/>
        </w:rPr>
      </w:pPr>
    </w:p>
    <w:p>
      <w:pPr>
        <w:spacing w:line="520" w:lineRule="exact"/>
        <w:ind w:left="3180" w:firstLine="480" w:firstLineChars="200"/>
        <w:rPr>
          <w:rFonts w:ascii="仿宋" w:hAnsi="仿宋" w:eastAsia="仿宋"/>
          <w:color w:val="000000"/>
          <w:sz w:val="24"/>
        </w:rPr>
      </w:pPr>
      <w:r>
        <w:rPr>
          <w:rFonts w:hint="eastAsia" w:ascii="仿宋" w:hAnsi="仿宋" w:eastAsia="仿宋"/>
          <w:color w:val="000000"/>
          <w:sz w:val="24"/>
        </w:rPr>
        <w:t>投标人名称（盖章）：</w:t>
      </w:r>
    </w:p>
    <w:p>
      <w:pPr>
        <w:spacing w:line="520" w:lineRule="exact"/>
        <w:ind w:left="5071" w:leftChars="586" w:hanging="3840" w:hangingChars="1600"/>
        <w:jc w:val="left"/>
        <w:rPr>
          <w:rFonts w:ascii="仿宋" w:hAnsi="仿宋" w:eastAsia="仿宋"/>
          <w:color w:val="000000"/>
          <w:sz w:val="24"/>
        </w:rPr>
      </w:pPr>
      <w:r>
        <w:rPr>
          <w:rFonts w:hint="eastAsia" w:ascii="仿宋" w:hAnsi="仿宋" w:eastAsia="仿宋"/>
          <w:color w:val="000000"/>
          <w:sz w:val="24"/>
        </w:rPr>
        <w:t>法定代表（或负责人）或授权代表（签字）：                                      日 期：</w:t>
      </w:r>
    </w:p>
    <w:p>
      <w:pPr>
        <w:spacing w:line="520" w:lineRule="exact"/>
        <w:jc w:val="center"/>
        <w:rPr>
          <w:rFonts w:asciiTheme="minorEastAsia" w:hAnsiTheme="minorEastAsia" w:eastAsiaTheme="minorEastAsia"/>
          <w:b/>
          <w:sz w:val="44"/>
          <w:szCs w:val="44"/>
        </w:rPr>
      </w:pPr>
    </w:p>
    <w:sectPr>
      <w:pgSz w:w="11906" w:h="16838"/>
      <w:pgMar w:top="1135"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62870"/>
    <w:multiLevelType w:val="multilevel"/>
    <w:tmpl w:val="09C62870"/>
    <w:lvl w:ilvl="0" w:tentative="0">
      <w:start w:val="1"/>
      <w:numFmt w:val="decimal"/>
      <w:lvlText w:val="（%1）"/>
      <w:lvlJc w:val="left"/>
      <w:pPr>
        <w:ind w:left="1429"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21100E6"/>
    <w:multiLevelType w:val="multilevel"/>
    <w:tmpl w:val="321100E6"/>
    <w:lvl w:ilvl="0" w:tentative="0">
      <w:start w:val="2"/>
      <w:numFmt w:val="japaneseCounting"/>
      <w:lvlText w:val="%1、"/>
      <w:lvlJc w:val="left"/>
      <w:pPr>
        <w:ind w:left="840" w:hanging="48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959B6C9"/>
    <w:multiLevelType w:val="singleLevel"/>
    <w:tmpl w:val="5959B6C9"/>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0YjQ0ZWZkNDE1NmI1YjAyNWNhMGVjMTExYmQ4ZmYifQ=="/>
  </w:docVars>
  <w:rsids>
    <w:rsidRoot w:val="003023FB"/>
    <w:rsid w:val="000043DC"/>
    <w:rsid w:val="00016DCC"/>
    <w:rsid w:val="00017F36"/>
    <w:rsid w:val="0003635A"/>
    <w:rsid w:val="00036B01"/>
    <w:rsid w:val="000411AC"/>
    <w:rsid w:val="00046C99"/>
    <w:rsid w:val="00046CAB"/>
    <w:rsid w:val="00051D36"/>
    <w:rsid w:val="0005230A"/>
    <w:rsid w:val="00052AD3"/>
    <w:rsid w:val="00056AB6"/>
    <w:rsid w:val="00073EBD"/>
    <w:rsid w:val="0009665B"/>
    <w:rsid w:val="000A0749"/>
    <w:rsid w:val="000B034A"/>
    <w:rsid w:val="000E2E3C"/>
    <w:rsid w:val="000E6D36"/>
    <w:rsid w:val="00131E08"/>
    <w:rsid w:val="0013451D"/>
    <w:rsid w:val="00135465"/>
    <w:rsid w:val="00142F57"/>
    <w:rsid w:val="00146CDB"/>
    <w:rsid w:val="00152555"/>
    <w:rsid w:val="00157FBA"/>
    <w:rsid w:val="001711B5"/>
    <w:rsid w:val="0017189F"/>
    <w:rsid w:val="00175C09"/>
    <w:rsid w:val="00190C73"/>
    <w:rsid w:val="001913AC"/>
    <w:rsid w:val="001B704D"/>
    <w:rsid w:val="001B74C9"/>
    <w:rsid w:val="001C1FF6"/>
    <w:rsid w:val="001E331A"/>
    <w:rsid w:val="002136DC"/>
    <w:rsid w:val="00214184"/>
    <w:rsid w:val="002172B6"/>
    <w:rsid w:val="002204B2"/>
    <w:rsid w:val="00223CA1"/>
    <w:rsid w:val="00224801"/>
    <w:rsid w:val="002257C1"/>
    <w:rsid w:val="00240439"/>
    <w:rsid w:val="00245FA7"/>
    <w:rsid w:val="00256980"/>
    <w:rsid w:val="002624B4"/>
    <w:rsid w:val="00276DA2"/>
    <w:rsid w:val="00283248"/>
    <w:rsid w:val="00294A0E"/>
    <w:rsid w:val="00297618"/>
    <w:rsid w:val="002A5758"/>
    <w:rsid w:val="002D6690"/>
    <w:rsid w:val="002E2AA3"/>
    <w:rsid w:val="002F138A"/>
    <w:rsid w:val="00301D30"/>
    <w:rsid w:val="003023FB"/>
    <w:rsid w:val="003049CA"/>
    <w:rsid w:val="00306B89"/>
    <w:rsid w:val="00313664"/>
    <w:rsid w:val="00336742"/>
    <w:rsid w:val="00337CCE"/>
    <w:rsid w:val="00356846"/>
    <w:rsid w:val="00360A83"/>
    <w:rsid w:val="00373175"/>
    <w:rsid w:val="00381782"/>
    <w:rsid w:val="00382D2B"/>
    <w:rsid w:val="00383AF4"/>
    <w:rsid w:val="00385CDC"/>
    <w:rsid w:val="003875EB"/>
    <w:rsid w:val="003A1AC4"/>
    <w:rsid w:val="003A1BBF"/>
    <w:rsid w:val="003B6F9D"/>
    <w:rsid w:val="003C1918"/>
    <w:rsid w:val="003C7A8E"/>
    <w:rsid w:val="003D1536"/>
    <w:rsid w:val="003F6E7D"/>
    <w:rsid w:val="00407ED7"/>
    <w:rsid w:val="00412759"/>
    <w:rsid w:val="004139C6"/>
    <w:rsid w:val="0041415A"/>
    <w:rsid w:val="00420B5C"/>
    <w:rsid w:val="004275B0"/>
    <w:rsid w:val="00434CED"/>
    <w:rsid w:val="004558F8"/>
    <w:rsid w:val="00455C1C"/>
    <w:rsid w:val="00483F60"/>
    <w:rsid w:val="004865A7"/>
    <w:rsid w:val="00490C4D"/>
    <w:rsid w:val="004A0AAB"/>
    <w:rsid w:val="004A46E1"/>
    <w:rsid w:val="004B02EE"/>
    <w:rsid w:val="004B6EE3"/>
    <w:rsid w:val="004C53EA"/>
    <w:rsid w:val="004E6A6C"/>
    <w:rsid w:val="00517E75"/>
    <w:rsid w:val="00526EDD"/>
    <w:rsid w:val="00533A9C"/>
    <w:rsid w:val="00534F6E"/>
    <w:rsid w:val="00541250"/>
    <w:rsid w:val="0054168D"/>
    <w:rsid w:val="0054639F"/>
    <w:rsid w:val="00546958"/>
    <w:rsid w:val="00553211"/>
    <w:rsid w:val="00563372"/>
    <w:rsid w:val="0057151F"/>
    <w:rsid w:val="00581C40"/>
    <w:rsid w:val="005A2FD6"/>
    <w:rsid w:val="005C0132"/>
    <w:rsid w:val="005C17BF"/>
    <w:rsid w:val="005C1FE0"/>
    <w:rsid w:val="005D6CFF"/>
    <w:rsid w:val="005E3FCB"/>
    <w:rsid w:val="005F07BA"/>
    <w:rsid w:val="005F1757"/>
    <w:rsid w:val="005F777D"/>
    <w:rsid w:val="00602456"/>
    <w:rsid w:val="00606655"/>
    <w:rsid w:val="00622E69"/>
    <w:rsid w:val="00623DE2"/>
    <w:rsid w:val="00632B39"/>
    <w:rsid w:val="00636647"/>
    <w:rsid w:val="00647D07"/>
    <w:rsid w:val="0065738A"/>
    <w:rsid w:val="0066218C"/>
    <w:rsid w:val="00662DF3"/>
    <w:rsid w:val="0066743C"/>
    <w:rsid w:val="00684E2E"/>
    <w:rsid w:val="0069387C"/>
    <w:rsid w:val="006C0BD8"/>
    <w:rsid w:val="006C58A4"/>
    <w:rsid w:val="006C667C"/>
    <w:rsid w:val="006D73EC"/>
    <w:rsid w:val="006F4A14"/>
    <w:rsid w:val="00752CBB"/>
    <w:rsid w:val="007545D2"/>
    <w:rsid w:val="007610F5"/>
    <w:rsid w:val="007661B4"/>
    <w:rsid w:val="007671DE"/>
    <w:rsid w:val="0078291B"/>
    <w:rsid w:val="00782CDD"/>
    <w:rsid w:val="007D5687"/>
    <w:rsid w:val="007F2104"/>
    <w:rsid w:val="007F51FD"/>
    <w:rsid w:val="00801CBE"/>
    <w:rsid w:val="008241A6"/>
    <w:rsid w:val="008319F4"/>
    <w:rsid w:val="00833EF8"/>
    <w:rsid w:val="008368D5"/>
    <w:rsid w:val="00852499"/>
    <w:rsid w:val="008625FD"/>
    <w:rsid w:val="00865EC5"/>
    <w:rsid w:val="00876A68"/>
    <w:rsid w:val="00892C89"/>
    <w:rsid w:val="008950B5"/>
    <w:rsid w:val="008A0E73"/>
    <w:rsid w:val="008A3AD7"/>
    <w:rsid w:val="008A4E7F"/>
    <w:rsid w:val="008C3BC0"/>
    <w:rsid w:val="008E1F83"/>
    <w:rsid w:val="008E5660"/>
    <w:rsid w:val="008F0162"/>
    <w:rsid w:val="008F31F2"/>
    <w:rsid w:val="008F379B"/>
    <w:rsid w:val="009000E5"/>
    <w:rsid w:val="00900D0A"/>
    <w:rsid w:val="0090217B"/>
    <w:rsid w:val="00906541"/>
    <w:rsid w:val="0092684F"/>
    <w:rsid w:val="00933335"/>
    <w:rsid w:val="00936F79"/>
    <w:rsid w:val="0094451A"/>
    <w:rsid w:val="00990E70"/>
    <w:rsid w:val="009917BC"/>
    <w:rsid w:val="009922CA"/>
    <w:rsid w:val="009929FA"/>
    <w:rsid w:val="009B0D93"/>
    <w:rsid w:val="009B6F3F"/>
    <w:rsid w:val="009C42C3"/>
    <w:rsid w:val="009C44E5"/>
    <w:rsid w:val="009E081A"/>
    <w:rsid w:val="009F54FB"/>
    <w:rsid w:val="009F73EF"/>
    <w:rsid w:val="00A007A5"/>
    <w:rsid w:val="00A04A44"/>
    <w:rsid w:val="00A04C75"/>
    <w:rsid w:val="00A0737E"/>
    <w:rsid w:val="00A159C0"/>
    <w:rsid w:val="00A315CF"/>
    <w:rsid w:val="00A500BE"/>
    <w:rsid w:val="00A52525"/>
    <w:rsid w:val="00A53857"/>
    <w:rsid w:val="00A615A8"/>
    <w:rsid w:val="00A74AE4"/>
    <w:rsid w:val="00A805CF"/>
    <w:rsid w:val="00A84F53"/>
    <w:rsid w:val="00A874E5"/>
    <w:rsid w:val="00A97BFC"/>
    <w:rsid w:val="00AB29B2"/>
    <w:rsid w:val="00AC0681"/>
    <w:rsid w:val="00AC34B5"/>
    <w:rsid w:val="00AF0BE8"/>
    <w:rsid w:val="00B10315"/>
    <w:rsid w:val="00B17055"/>
    <w:rsid w:val="00B17BB5"/>
    <w:rsid w:val="00B42E97"/>
    <w:rsid w:val="00B46C61"/>
    <w:rsid w:val="00B509CD"/>
    <w:rsid w:val="00B57766"/>
    <w:rsid w:val="00B6661C"/>
    <w:rsid w:val="00B702BE"/>
    <w:rsid w:val="00B819D6"/>
    <w:rsid w:val="00B862C4"/>
    <w:rsid w:val="00B92062"/>
    <w:rsid w:val="00B921B1"/>
    <w:rsid w:val="00B927E2"/>
    <w:rsid w:val="00BA237A"/>
    <w:rsid w:val="00BA4692"/>
    <w:rsid w:val="00BE7EF8"/>
    <w:rsid w:val="00C033C5"/>
    <w:rsid w:val="00C05767"/>
    <w:rsid w:val="00C3234E"/>
    <w:rsid w:val="00C338B5"/>
    <w:rsid w:val="00C4607A"/>
    <w:rsid w:val="00C50370"/>
    <w:rsid w:val="00C57FC4"/>
    <w:rsid w:val="00C672B4"/>
    <w:rsid w:val="00C70E17"/>
    <w:rsid w:val="00C73A48"/>
    <w:rsid w:val="00CA5F0B"/>
    <w:rsid w:val="00CD09ED"/>
    <w:rsid w:val="00CD5ADD"/>
    <w:rsid w:val="00CE13F1"/>
    <w:rsid w:val="00CE5852"/>
    <w:rsid w:val="00CE5ACD"/>
    <w:rsid w:val="00D068E5"/>
    <w:rsid w:val="00D17951"/>
    <w:rsid w:val="00D21321"/>
    <w:rsid w:val="00D4634A"/>
    <w:rsid w:val="00D63B13"/>
    <w:rsid w:val="00D6728F"/>
    <w:rsid w:val="00D85AE6"/>
    <w:rsid w:val="00D95C34"/>
    <w:rsid w:val="00DA0E48"/>
    <w:rsid w:val="00DA34A5"/>
    <w:rsid w:val="00DB5A1E"/>
    <w:rsid w:val="00DD0850"/>
    <w:rsid w:val="00E07BB2"/>
    <w:rsid w:val="00E17F2A"/>
    <w:rsid w:val="00E362FF"/>
    <w:rsid w:val="00E3785B"/>
    <w:rsid w:val="00E43C7A"/>
    <w:rsid w:val="00E45EC3"/>
    <w:rsid w:val="00E464F8"/>
    <w:rsid w:val="00E506B8"/>
    <w:rsid w:val="00E55860"/>
    <w:rsid w:val="00E673F6"/>
    <w:rsid w:val="00E80AB4"/>
    <w:rsid w:val="00E824E2"/>
    <w:rsid w:val="00E83DDF"/>
    <w:rsid w:val="00EA2B89"/>
    <w:rsid w:val="00EB2454"/>
    <w:rsid w:val="00EC709E"/>
    <w:rsid w:val="00EE1999"/>
    <w:rsid w:val="00EE613B"/>
    <w:rsid w:val="00F00452"/>
    <w:rsid w:val="00F177F5"/>
    <w:rsid w:val="00F225F3"/>
    <w:rsid w:val="00F22D2E"/>
    <w:rsid w:val="00F237F7"/>
    <w:rsid w:val="00F330AA"/>
    <w:rsid w:val="00F5030A"/>
    <w:rsid w:val="00F50C4B"/>
    <w:rsid w:val="00F61603"/>
    <w:rsid w:val="00F81AAE"/>
    <w:rsid w:val="00F93A0D"/>
    <w:rsid w:val="00FA52FA"/>
    <w:rsid w:val="00FE0EEC"/>
    <w:rsid w:val="00FE29D7"/>
    <w:rsid w:val="1B6153FB"/>
    <w:rsid w:val="61C20262"/>
    <w:rsid w:val="6AA3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nhideWhenUsed/>
    <w:uiPriority w:val="99"/>
    <w:rPr>
      <w:rFonts w:ascii="宋体" w:hAnsi="Courier New" w:cs="Courier New" w:eastAsiaTheme="minorEastAsia"/>
      <w:szCs w:val="21"/>
    </w:rPr>
  </w:style>
  <w:style w:type="paragraph" w:styleId="3">
    <w:name w:val="Date"/>
    <w:basedOn w:val="1"/>
    <w:next w:val="1"/>
    <w:link w:val="16"/>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rFonts w:cs="Times New Roman"/>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纯文本 Char"/>
    <w:basedOn w:val="9"/>
    <w:link w:val="2"/>
    <w:qFormat/>
    <w:uiPriority w:val="99"/>
    <w:rPr>
      <w:rFonts w:ascii="宋体" w:hAnsi="Courier New" w:cs="Courier New"/>
      <w:szCs w:val="21"/>
    </w:rPr>
  </w:style>
  <w:style w:type="character" w:customStyle="1" w:styleId="14">
    <w:name w:val="纯文本 Char1"/>
    <w:basedOn w:val="9"/>
    <w:link w:val="2"/>
    <w:semiHidden/>
    <w:qFormat/>
    <w:uiPriority w:val="99"/>
    <w:rPr>
      <w:rFonts w:ascii="宋体" w:hAnsi="Courier New" w:eastAsia="宋体" w:cs="Courier New"/>
      <w:szCs w:val="21"/>
    </w:rPr>
  </w:style>
  <w:style w:type="paragraph" w:customStyle="1" w:styleId="15">
    <w:name w:val="正文段"/>
    <w:basedOn w:val="1"/>
    <w:qFormat/>
    <w:uiPriority w:val="0"/>
    <w:pPr>
      <w:widowControl/>
      <w:snapToGrid w:val="0"/>
      <w:spacing w:afterLines="50"/>
      <w:ind w:firstLine="200" w:firstLineChars="200"/>
    </w:pPr>
    <w:rPr>
      <w:kern w:val="0"/>
      <w:sz w:val="24"/>
      <w:szCs w:val="20"/>
    </w:rPr>
  </w:style>
  <w:style w:type="character" w:customStyle="1" w:styleId="16">
    <w:name w:val="日期 Char"/>
    <w:basedOn w:val="9"/>
    <w:link w:val="3"/>
    <w:semiHidden/>
    <w:qFormat/>
    <w:uiPriority w:val="99"/>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BF39-AEE1-4DA5-9BD3-F6464E29AAA6}">
  <ds:schemaRefs/>
</ds:datastoreItem>
</file>

<file path=docProps/app.xml><?xml version="1.0" encoding="utf-8"?>
<Properties xmlns="http://schemas.openxmlformats.org/officeDocument/2006/extended-properties" xmlns:vt="http://schemas.openxmlformats.org/officeDocument/2006/docPropsVTypes">
  <Template>Normal.dotm</Template>
  <Company>东阳</Company>
  <Pages>15</Pages>
  <Words>6606</Words>
  <Characters>7052</Characters>
  <Lines>55</Lines>
  <Paragraphs>15</Paragraphs>
  <TotalTime>15</TotalTime>
  <ScaleCrop>false</ScaleCrop>
  <LinksUpToDate>false</LinksUpToDate>
  <CharactersWithSpaces>7426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2022-11-21T07:07:00Z</dcterms:created>
  <dc:creator>user</dc:creator>
  <cp:lastModifiedBy>王丹阳</cp:lastModifiedBy>
  <cp:lastPrinted>2021-11-21T08:18:00Z</cp:lastPrinted>
  <dcterms:modified xsi:type="dcterms:W3CDTF">2022-11-22T06:26:52Z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88744ED133EF454E97987C68F5196A5B</vt:lpwstr>
  </property>
</Properties>
</file>