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C9" w:rsidRPr="009740C9" w:rsidRDefault="009740C9" w:rsidP="009740C9">
      <w:pPr>
        <w:jc w:val="center"/>
        <w:rPr>
          <w:rFonts w:ascii="方正小标宋简体" w:eastAsia="方正小标宋简体" w:hint="eastAsia"/>
        </w:rPr>
      </w:pPr>
      <w:r w:rsidRPr="009740C9">
        <w:rPr>
          <w:rFonts w:ascii="方正小标宋简体" w:eastAsia="方正小标宋简体" w:hAnsi="宋体" w:cs="宋体" w:hint="eastAsia"/>
          <w:sz w:val="44"/>
          <w:szCs w:val="44"/>
        </w:rPr>
        <w:t>湖溪镇党委规范性文件合法性审查目录清单</w:t>
      </w:r>
    </w:p>
    <w:tbl>
      <w:tblPr>
        <w:tblStyle w:val="a5"/>
        <w:tblpPr w:leftFromText="180" w:rightFromText="180" w:vertAnchor="text" w:horzAnchor="page" w:tblpX="1415" w:tblpY="640"/>
        <w:tblOverlap w:val="never"/>
        <w:tblW w:w="14174" w:type="dxa"/>
        <w:tblLayout w:type="fixed"/>
        <w:tblLook w:val="04A0"/>
      </w:tblPr>
      <w:tblGrid>
        <w:gridCol w:w="1087"/>
        <w:gridCol w:w="13087"/>
      </w:tblGrid>
      <w:tr w:rsidR="009740C9" w:rsidTr="009044B5">
        <w:tc>
          <w:tcPr>
            <w:tcW w:w="14174" w:type="dxa"/>
            <w:gridSpan w:val="2"/>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一、正  面  清  单</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序号</w:t>
            </w:r>
          </w:p>
        </w:tc>
        <w:tc>
          <w:tcPr>
            <w:tcW w:w="13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名        称</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中央纪律检查委员会、中央各部门和省、自治区、直辖市党委在履行职责过程中形成的具有普遍约束力、可以反复适用的决议、决定、意见、通知等文件，包括贯彻执行中央决策部署、指导推动经济社会发展、涉及人民群众切身利益、加强和改进党的建设等方面的重要文件</w:t>
            </w:r>
          </w:p>
        </w:tc>
      </w:tr>
      <w:tr w:rsidR="009740C9" w:rsidTr="009044B5">
        <w:tc>
          <w:tcPr>
            <w:tcW w:w="14174" w:type="dxa"/>
            <w:gridSpan w:val="2"/>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二、负  面  清  单</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序号</w:t>
            </w:r>
          </w:p>
        </w:tc>
        <w:tc>
          <w:tcPr>
            <w:tcW w:w="13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名        称</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人事调整、内部机构设置、表彰决定方面的文件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2</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请示、报告、会议活动通知、会议纪要、领导讲话、情况通报、工作要点、工作总结</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3</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机关内部工作制度和工作方案</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4</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其他不具有普遍约束力、不可反复适用的文件</w:t>
            </w:r>
          </w:p>
        </w:tc>
      </w:tr>
    </w:tbl>
    <w:p w:rsidR="009740C9" w:rsidRDefault="009740C9" w:rsidP="009740C9">
      <w:pPr>
        <w:rPr>
          <w:rFonts w:hint="eastAsia"/>
        </w:rPr>
      </w:pPr>
    </w:p>
    <w:p w:rsidR="009740C9" w:rsidRPr="009740C9" w:rsidRDefault="009740C9" w:rsidP="009740C9">
      <w:pPr>
        <w:jc w:val="center"/>
        <w:rPr>
          <w:rFonts w:ascii="方正小标宋简体" w:eastAsia="方正小标宋简体" w:hAnsi="宋体" w:cs="宋体" w:hint="eastAsia"/>
          <w:sz w:val="44"/>
          <w:szCs w:val="44"/>
        </w:rPr>
      </w:pPr>
      <w:bookmarkStart w:id="0" w:name="_GoBack"/>
      <w:bookmarkEnd w:id="0"/>
      <w:r w:rsidRPr="009740C9">
        <w:rPr>
          <w:rFonts w:ascii="方正小标宋简体" w:eastAsia="方正小标宋简体" w:hAnsi="宋体" w:cs="宋体" w:hint="eastAsia"/>
          <w:sz w:val="44"/>
          <w:szCs w:val="44"/>
        </w:rPr>
        <w:lastRenderedPageBreak/>
        <w:t>湖溪镇重大行政决策合法性审查目录清单</w:t>
      </w:r>
    </w:p>
    <w:tbl>
      <w:tblPr>
        <w:tblStyle w:val="a5"/>
        <w:tblpPr w:leftFromText="180" w:rightFromText="180" w:vertAnchor="text" w:horzAnchor="page" w:tblpX="1415" w:tblpY="640"/>
        <w:tblOverlap w:val="never"/>
        <w:tblW w:w="14174" w:type="dxa"/>
        <w:tblLayout w:type="fixed"/>
        <w:tblLook w:val="04A0"/>
      </w:tblPr>
      <w:tblGrid>
        <w:gridCol w:w="1087"/>
        <w:gridCol w:w="13087"/>
      </w:tblGrid>
      <w:tr w:rsidR="009740C9" w:rsidTr="009044B5">
        <w:tc>
          <w:tcPr>
            <w:tcW w:w="14174" w:type="dxa"/>
            <w:gridSpan w:val="2"/>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一、正  面  清  单</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序号</w:t>
            </w:r>
          </w:p>
        </w:tc>
        <w:tc>
          <w:tcPr>
            <w:tcW w:w="13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名        称</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决策机关依照法定职权，对关系本地区经济社会发展全局，社会涉及面广，与公民、法人或者其他组织利益密切相关的重大事项作出的决定</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2</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经济和社会发展等方面的重要规划和重大改革措施</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3</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土地管理、生态环保、水资源配置与保护等事关可持续发展的重大事项</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4</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重点经济园区、集聚区布局</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5</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由政府组织实施的对相关群体利益可能造成较大影响的重大建设项目</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6</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社会保障、文化教育、卫生计生、社会救助、公共交通、住房保障等基本公共服务领域的重大保障性措施</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7</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社会治安、安全生产、食品安全等涉及公共安全以及社会稳定方面的重大事项和措施</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lastRenderedPageBreak/>
              <w:t>8</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决策机关确定的其他决策事项</w:t>
            </w:r>
          </w:p>
        </w:tc>
      </w:tr>
      <w:tr w:rsidR="009740C9" w:rsidTr="009044B5">
        <w:tc>
          <w:tcPr>
            <w:tcW w:w="14174" w:type="dxa"/>
            <w:gridSpan w:val="2"/>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二、负  面  清  单</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序号</w:t>
            </w:r>
          </w:p>
        </w:tc>
        <w:tc>
          <w:tcPr>
            <w:tcW w:w="13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名        称</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突发事件应对的事项</w:t>
            </w:r>
          </w:p>
        </w:tc>
      </w:tr>
      <w:tr w:rsidR="009740C9" w:rsidTr="009044B5">
        <w:trPr>
          <w:trHeight w:val="626"/>
        </w:trPr>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2</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城乡规划的事项</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3</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土地利用总体规划的事项</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4</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土地和房屋的征收与补偿的事项</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5</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政府定价的事项</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6</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地方标准制定的事项</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7</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其他相关法律、法规另有决策程序规定的事项</w:t>
            </w:r>
          </w:p>
        </w:tc>
      </w:tr>
    </w:tbl>
    <w:p w:rsidR="009740C9" w:rsidRDefault="009740C9" w:rsidP="009740C9">
      <w:pPr>
        <w:rPr>
          <w:rFonts w:hint="eastAsia"/>
        </w:rPr>
      </w:pPr>
    </w:p>
    <w:p w:rsidR="009740C9" w:rsidRDefault="009740C9" w:rsidP="009740C9">
      <w:pPr>
        <w:spacing w:line="500" w:lineRule="exact"/>
        <w:jc w:val="center"/>
        <w:rPr>
          <w:rFonts w:ascii="方正小标宋简体" w:eastAsia="方正小标宋简体" w:hAnsi="宋体" w:cs="宋体" w:hint="eastAsia"/>
          <w:sz w:val="44"/>
          <w:szCs w:val="44"/>
        </w:rPr>
      </w:pPr>
    </w:p>
    <w:p w:rsidR="009740C9" w:rsidRDefault="009740C9" w:rsidP="009740C9">
      <w:pPr>
        <w:jc w:val="center"/>
        <w:rPr>
          <w:rFonts w:ascii="方正小标宋简体" w:eastAsia="方正小标宋简体" w:hAnsi="宋体" w:cs="宋体" w:hint="eastAsia"/>
          <w:sz w:val="44"/>
          <w:szCs w:val="44"/>
        </w:rPr>
      </w:pPr>
    </w:p>
    <w:p w:rsidR="009740C9" w:rsidRPr="009740C9" w:rsidRDefault="009740C9" w:rsidP="009740C9">
      <w:pPr>
        <w:jc w:val="center"/>
        <w:rPr>
          <w:rFonts w:ascii="方正小标宋简体" w:eastAsia="方正小标宋简体" w:hAnsi="宋体" w:cs="宋体" w:hint="eastAsia"/>
          <w:sz w:val="44"/>
          <w:szCs w:val="44"/>
        </w:rPr>
      </w:pPr>
      <w:r w:rsidRPr="009740C9">
        <w:rPr>
          <w:rFonts w:ascii="方正小标宋简体" w:eastAsia="方正小标宋简体" w:hAnsi="宋体" w:cs="宋体" w:hint="eastAsia"/>
          <w:sz w:val="44"/>
          <w:szCs w:val="44"/>
        </w:rPr>
        <w:lastRenderedPageBreak/>
        <w:t>湖溪镇行政规范性文件合法性审查目录清单</w:t>
      </w:r>
    </w:p>
    <w:tbl>
      <w:tblPr>
        <w:tblStyle w:val="a5"/>
        <w:tblpPr w:leftFromText="180" w:rightFromText="180" w:vertAnchor="text" w:horzAnchor="page" w:tblpX="1415" w:tblpY="640"/>
        <w:tblOverlap w:val="never"/>
        <w:tblW w:w="14174" w:type="dxa"/>
        <w:tblLayout w:type="fixed"/>
        <w:tblLook w:val="04A0"/>
      </w:tblPr>
      <w:tblGrid>
        <w:gridCol w:w="1087"/>
        <w:gridCol w:w="13087"/>
      </w:tblGrid>
      <w:tr w:rsidR="009740C9" w:rsidTr="009044B5">
        <w:tc>
          <w:tcPr>
            <w:tcW w:w="14174" w:type="dxa"/>
            <w:gridSpan w:val="2"/>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一、正  面  清  单</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序号</w:t>
            </w:r>
          </w:p>
        </w:tc>
        <w:tc>
          <w:tcPr>
            <w:tcW w:w="13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名        称</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除政府规章以外，行政机关依照法定权限和规定程序制定的，涉及不特定的公民、法人或者其他组织的权利义务，在一定时期内反复适用，在本行政区域内具有普遍约束力的各类行政文件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2</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行政规范性文件清理后，关于废止、宣布失效文件的决定，属于行政规范性文件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3</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行政机关制定的关于行政机关的“三定”规定、启用行政执法专用章、行政区划批复等涉及对外管理权限并作为管理依据的规定，属于行政规范性文件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4</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行政机关有些批复的内容不仅适用于请示机关所在区域，而且适用于批复机关管辖范围的同类事项， 具有事实上的普遍适用性，属于行政规范性文件。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5</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行政机关原文转发上级机关行政规范性文件，转发上级机关行政规范性文件同时提出具体实</w:t>
            </w:r>
            <w:r>
              <w:rPr>
                <w:rFonts w:ascii="仿宋" w:eastAsia="仿宋" w:hAnsi="仿宋" w:cs="仿宋" w:hint="eastAsia"/>
                <w:sz w:val="32"/>
                <w:szCs w:val="32"/>
              </w:rPr>
              <w:lastRenderedPageBreak/>
              <w:t>施措施或者补充意见，并涉及不特定公民、法人或者其他组织的权利、义务的，属于本机关的行政规范性文件。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lastRenderedPageBreak/>
              <w:t>6</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行政机关对本机关行政处罚、行政许可等进行裁量权细化量化的规定，属于行政规范性文件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7</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为实施专项行动或者阶段性整顿，部署有关工作，明确有关部门工作职责和工作要求的方案（包括工作方案或者实施方案），如果此类方案的内容涉及不特定的公民、法人和其他组织权利、义务的，属于行政规范性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8</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行政机关的指导意见的内容涉及管理职权或者行政措施，而且影响公民、法人或者其他组织权利义务的，属于行政规范性文件。</w:t>
            </w:r>
          </w:p>
        </w:tc>
      </w:tr>
      <w:tr w:rsidR="009740C9" w:rsidTr="009044B5">
        <w:tc>
          <w:tcPr>
            <w:tcW w:w="14174" w:type="dxa"/>
            <w:gridSpan w:val="2"/>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二、负  面  清  单</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序号</w:t>
            </w:r>
          </w:p>
        </w:tc>
        <w:tc>
          <w:tcPr>
            <w:tcW w:w="13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名        称</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行政机关的内部工作制度方面的文件</w:t>
            </w:r>
          </w:p>
        </w:tc>
      </w:tr>
      <w:tr w:rsidR="009740C9" w:rsidTr="009044B5">
        <w:trPr>
          <w:trHeight w:val="626"/>
        </w:trPr>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2</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行政机关的奖惩方面的文件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3</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行政机关的人事方面的文件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lastRenderedPageBreak/>
              <w:t>4</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行政机关对本机关内设机构职责调整的文件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5</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行政机关原文转发上级机关行政规范性文件，转发上级机关行政规范性文件没有提出具体实施措施或者补充意见，或提出具体实施措施或者补充意见但不涉及不特定公民、法人或者其他组织的权利、义务的文件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6</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行政机关指导本地区本系统下级行政机关就行政处罚、行政许可等裁量权细化量化作出的文件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7</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行政机关为实施专项行动或者阶段性整顿，部署有关工作，明确有关部门工作职责和工作要</w:t>
            </w:r>
          </w:p>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求的方案（包括工作方案或者实施方案），且内容不涉及不特定的公民、法人和其他组织权</w:t>
            </w:r>
          </w:p>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利、义务的文件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8</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行政机关的指导意见的内容不涉及管理职权或者行政措施，或涉及管理职权或者行政措施但不影响公民、法人或者其他组织权利义务的文件。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9</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会议文件：包括会议通知、会议纪要及会议讲话材料等</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10</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商洽性工作函。包括机关之间的商洽工作、询问和答复问题，向有关主管部门请求批准等</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lastRenderedPageBreak/>
              <w:t>11</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工作规划、计划、要点</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12</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工作考核、监督检查、行政责任追究等方面的文件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13</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成立工作领导小组、协调机构等通知</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14</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突发公共事件的应急预案</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15</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对小区、地名命名的批复</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16</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征地补偿、安置方案</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17</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公示办事时间、办事地点等事项的便民通告</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18</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行政机关对公务员、行政机关职员、公办学校教职工、医疗机构工作人员及全额拨款的其他事业单位职工、国有企业领导人的人事、工资、绩效等方面管理的文件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19</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财政部门仅对格式文本、报表、会计准则、会计核算制度等技术事项进行规定的文件以及仅下达预算、分配资金、批复项目的文件</w:t>
            </w:r>
          </w:p>
        </w:tc>
      </w:tr>
      <w:tr w:rsidR="009740C9" w:rsidTr="009044B5">
        <w:tc>
          <w:tcPr>
            <w:tcW w:w="1087" w:type="dxa"/>
          </w:tcPr>
          <w:p w:rsidR="009740C9" w:rsidRDefault="009740C9" w:rsidP="009044B5">
            <w:pPr>
              <w:widowControl/>
              <w:jc w:val="center"/>
              <w:rPr>
                <w:rFonts w:ascii="仿宋" w:eastAsia="仿宋" w:hAnsi="仿宋" w:cs="仿宋"/>
                <w:sz w:val="32"/>
                <w:szCs w:val="32"/>
              </w:rPr>
            </w:pPr>
            <w:r>
              <w:rPr>
                <w:rFonts w:ascii="仿宋" w:eastAsia="仿宋" w:hAnsi="仿宋" w:cs="仿宋" w:hint="eastAsia"/>
                <w:sz w:val="32"/>
                <w:szCs w:val="32"/>
              </w:rPr>
              <w:t>20</w:t>
            </w:r>
          </w:p>
        </w:tc>
        <w:tc>
          <w:tcPr>
            <w:tcW w:w="13087" w:type="dxa"/>
          </w:tcPr>
          <w:p w:rsidR="009740C9" w:rsidRDefault="009740C9" w:rsidP="009044B5">
            <w:pPr>
              <w:widowControl/>
              <w:rPr>
                <w:rFonts w:ascii="仿宋" w:eastAsia="仿宋" w:hAnsi="仿宋" w:cs="仿宋"/>
                <w:sz w:val="32"/>
                <w:szCs w:val="32"/>
              </w:rPr>
            </w:pPr>
            <w:r>
              <w:rPr>
                <w:rFonts w:ascii="仿宋" w:eastAsia="仿宋" w:hAnsi="仿宋" w:cs="仿宋" w:hint="eastAsia"/>
                <w:sz w:val="32"/>
                <w:szCs w:val="32"/>
              </w:rPr>
              <w:t>行业技术标准类文件、技术操作规程</w:t>
            </w:r>
          </w:p>
        </w:tc>
      </w:tr>
    </w:tbl>
    <w:p w:rsidR="009740C9" w:rsidRDefault="009740C9" w:rsidP="009740C9">
      <w:pPr>
        <w:rPr>
          <w:rFonts w:hint="eastAsia"/>
        </w:rPr>
      </w:pPr>
    </w:p>
    <w:p w:rsidR="009740C9" w:rsidRDefault="009740C9" w:rsidP="009740C9">
      <w:pPr>
        <w:spacing w:line="500" w:lineRule="exact"/>
        <w:jc w:val="center"/>
        <w:rPr>
          <w:rFonts w:ascii="方正小标宋简体" w:eastAsia="方正小标宋简体" w:hAnsi="宋体" w:cs="宋体" w:hint="eastAsia"/>
          <w:sz w:val="44"/>
          <w:szCs w:val="44"/>
        </w:rPr>
      </w:pPr>
    </w:p>
    <w:p w:rsidR="009740C9" w:rsidRPr="00FF04AD" w:rsidRDefault="009740C9" w:rsidP="009740C9">
      <w:pPr>
        <w:rPr>
          <w:rFonts w:hint="eastAsia"/>
        </w:rPr>
      </w:pPr>
    </w:p>
    <w:p w:rsidR="00650989" w:rsidRPr="009740C9" w:rsidRDefault="00C83DCD" w:rsidP="009740C9">
      <w:pPr>
        <w:jc w:val="center"/>
        <w:rPr>
          <w:rFonts w:ascii="方正小标宋简体" w:eastAsia="方正小标宋简体" w:hAnsi="宋体" w:cs="宋体" w:hint="eastAsia"/>
          <w:sz w:val="44"/>
          <w:szCs w:val="44"/>
        </w:rPr>
      </w:pPr>
      <w:r w:rsidRPr="009740C9">
        <w:rPr>
          <w:rFonts w:ascii="方正小标宋简体" w:eastAsia="方正小标宋简体" w:hAnsi="宋体" w:cs="宋体" w:hint="eastAsia"/>
          <w:sz w:val="44"/>
          <w:szCs w:val="44"/>
        </w:rPr>
        <w:lastRenderedPageBreak/>
        <w:t>湖溪镇行政机关合同</w:t>
      </w:r>
      <w:r w:rsidR="009B4D54" w:rsidRPr="009740C9">
        <w:rPr>
          <w:rFonts w:ascii="方正小标宋简体" w:eastAsia="方正小标宋简体" w:hAnsi="宋体" w:cs="宋体" w:hint="eastAsia"/>
          <w:sz w:val="44"/>
          <w:szCs w:val="44"/>
        </w:rPr>
        <w:t>合法性审查目录清单</w:t>
      </w:r>
    </w:p>
    <w:tbl>
      <w:tblPr>
        <w:tblStyle w:val="a5"/>
        <w:tblpPr w:leftFromText="180" w:rightFromText="180" w:vertAnchor="text" w:horzAnchor="page" w:tblpX="1415" w:tblpY="640"/>
        <w:tblOverlap w:val="never"/>
        <w:tblW w:w="14174" w:type="dxa"/>
        <w:tblLayout w:type="fixed"/>
        <w:tblLook w:val="04A0"/>
      </w:tblPr>
      <w:tblGrid>
        <w:gridCol w:w="1087"/>
        <w:gridCol w:w="13087"/>
      </w:tblGrid>
      <w:tr w:rsidR="00650989">
        <w:tc>
          <w:tcPr>
            <w:tcW w:w="14174" w:type="dxa"/>
            <w:gridSpan w:val="2"/>
          </w:tcPr>
          <w:p w:rsidR="00650989" w:rsidRDefault="009B4D54">
            <w:pPr>
              <w:widowControl/>
              <w:rPr>
                <w:rFonts w:ascii="仿宋" w:eastAsia="仿宋" w:hAnsi="仿宋" w:cs="仿宋"/>
                <w:sz w:val="32"/>
                <w:szCs w:val="32"/>
              </w:rPr>
            </w:pPr>
            <w:r>
              <w:rPr>
                <w:rFonts w:ascii="仿宋" w:eastAsia="仿宋" w:hAnsi="仿宋" w:cs="仿宋" w:hint="eastAsia"/>
                <w:sz w:val="32"/>
                <w:szCs w:val="32"/>
              </w:rPr>
              <w:t>一、正  面  清  单</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序号</w:t>
            </w:r>
          </w:p>
        </w:tc>
        <w:tc>
          <w:tcPr>
            <w:tcW w:w="13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名        称</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1</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市政府、各镇乡人民政府、街道办事处、市政府各部门及法律、法规授权组织，在行政管理、公共服务以及民事经济活动中，作为一方当事人与公民、法人和其他组织订立的，涉及国有资产、财政资金使用和自然资源、公共资源利用等内容的合同</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2</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国有资产出（转）让合同</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3</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招商引资合同</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4</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合作开发合同</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5</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土地、房屋等征收征用补偿协议</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6</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政府投融资合同</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7</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政府借款合同</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lastRenderedPageBreak/>
              <w:t>8</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政府特许经营协议</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9</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矿业权等国有自然资源使用权出让协议</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10</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政府投资的保障性住房的租赁、买卖等协议</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11</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行政机关为了实现行政管理或者公共服务目标，与公民、法人或者其他组织协商订立的具有行政法上权利义务内容的政府与社会资本合作协议</w:t>
            </w:r>
          </w:p>
        </w:tc>
      </w:tr>
      <w:tr w:rsidR="00650989">
        <w:tc>
          <w:tcPr>
            <w:tcW w:w="14174" w:type="dxa"/>
            <w:gridSpan w:val="2"/>
          </w:tcPr>
          <w:p w:rsidR="00650989" w:rsidRDefault="009B4D54">
            <w:pPr>
              <w:widowControl/>
              <w:rPr>
                <w:rFonts w:ascii="仿宋" w:eastAsia="仿宋" w:hAnsi="仿宋" w:cs="仿宋"/>
                <w:sz w:val="32"/>
                <w:szCs w:val="32"/>
              </w:rPr>
            </w:pPr>
            <w:r>
              <w:rPr>
                <w:rFonts w:ascii="仿宋" w:eastAsia="仿宋" w:hAnsi="仿宋" w:cs="仿宋" w:hint="eastAsia"/>
                <w:sz w:val="32"/>
                <w:szCs w:val="32"/>
              </w:rPr>
              <w:t>二、负  面  清  单</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序号</w:t>
            </w:r>
          </w:p>
        </w:tc>
        <w:tc>
          <w:tcPr>
            <w:tcW w:w="13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名        称</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1</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政府采购合同</w:t>
            </w:r>
          </w:p>
        </w:tc>
      </w:tr>
      <w:tr w:rsidR="00650989">
        <w:trPr>
          <w:trHeight w:val="626"/>
        </w:trPr>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2</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劳动合同</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3</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科技合同</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4</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课题合同</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5</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行政机关之间因公务协助等事由而订立的协议</w:t>
            </w:r>
          </w:p>
        </w:tc>
      </w:tr>
      <w:tr w:rsidR="00650989">
        <w:tc>
          <w:tcPr>
            <w:tcW w:w="1087" w:type="dxa"/>
          </w:tcPr>
          <w:p w:rsidR="00650989" w:rsidRDefault="009B4D54">
            <w:pPr>
              <w:widowControl/>
              <w:jc w:val="center"/>
              <w:rPr>
                <w:rFonts w:ascii="仿宋" w:eastAsia="仿宋" w:hAnsi="仿宋" w:cs="仿宋"/>
                <w:sz w:val="32"/>
                <w:szCs w:val="32"/>
              </w:rPr>
            </w:pPr>
            <w:r>
              <w:rPr>
                <w:rFonts w:ascii="仿宋" w:eastAsia="仿宋" w:hAnsi="仿宋" w:cs="仿宋" w:hint="eastAsia"/>
                <w:sz w:val="32"/>
                <w:szCs w:val="32"/>
              </w:rPr>
              <w:t>6</w:t>
            </w:r>
          </w:p>
        </w:tc>
        <w:tc>
          <w:tcPr>
            <w:tcW w:w="13087" w:type="dxa"/>
          </w:tcPr>
          <w:p w:rsidR="00650989" w:rsidRDefault="009B4D54">
            <w:pPr>
              <w:widowControl/>
              <w:rPr>
                <w:rFonts w:ascii="仿宋" w:eastAsia="仿宋" w:hAnsi="仿宋" w:cs="仿宋"/>
                <w:sz w:val="32"/>
                <w:szCs w:val="32"/>
              </w:rPr>
            </w:pPr>
            <w:r>
              <w:rPr>
                <w:rFonts w:ascii="仿宋" w:eastAsia="仿宋" w:hAnsi="仿宋" w:cs="仿宋" w:hint="eastAsia"/>
                <w:sz w:val="32"/>
                <w:szCs w:val="32"/>
              </w:rPr>
              <w:t>行政机关与其工作人员订立的劳动人事协议</w:t>
            </w:r>
          </w:p>
        </w:tc>
      </w:tr>
    </w:tbl>
    <w:p w:rsidR="00650989" w:rsidRDefault="00650989">
      <w:pPr>
        <w:rPr>
          <w:rFonts w:hint="eastAsia"/>
        </w:rPr>
      </w:pPr>
    </w:p>
    <w:p w:rsidR="009740C9" w:rsidRPr="009740C9" w:rsidRDefault="009740C9" w:rsidP="009740C9">
      <w:pPr>
        <w:spacing w:line="500" w:lineRule="exact"/>
        <w:jc w:val="center"/>
        <w:rPr>
          <w:rFonts w:ascii="方正小标宋简体" w:eastAsia="方正小标宋简体" w:hAnsi="宋体" w:cs="宋体" w:hint="eastAsia"/>
          <w:sz w:val="44"/>
          <w:szCs w:val="44"/>
        </w:rPr>
      </w:pPr>
      <w:r w:rsidRPr="009740C9">
        <w:rPr>
          <w:rFonts w:ascii="方正小标宋简体" w:eastAsia="方正小标宋简体" w:hAnsi="宋体" w:cs="宋体" w:hint="eastAsia"/>
          <w:sz w:val="44"/>
          <w:szCs w:val="44"/>
        </w:rPr>
        <w:lastRenderedPageBreak/>
        <w:t>湖溪镇重大行政执法决定合法性审核目录清单</w:t>
      </w:r>
    </w:p>
    <w:p w:rsidR="009740C9" w:rsidRDefault="009740C9" w:rsidP="009740C9">
      <w:pPr>
        <w:spacing w:line="500" w:lineRule="exact"/>
        <w:ind w:firstLineChars="200" w:firstLine="560"/>
        <w:rPr>
          <w:rFonts w:ascii="仿宋_GB2312" w:eastAsia="仿宋_GB2312" w:hAnsi="仿宋" w:cs="仿宋" w:hint="eastAsia"/>
          <w:sz w:val="28"/>
          <w:szCs w:val="28"/>
        </w:rPr>
      </w:pPr>
    </w:p>
    <w:p w:rsidR="009740C9" w:rsidRPr="009B4A81" w:rsidRDefault="009740C9" w:rsidP="009740C9">
      <w:pPr>
        <w:spacing w:line="500" w:lineRule="exact"/>
        <w:ind w:firstLineChars="200" w:firstLine="560"/>
        <w:rPr>
          <w:rFonts w:ascii="仿宋_GB2312" w:eastAsia="仿宋_GB2312" w:hAnsi="宋体" w:cs="宋体"/>
          <w:sz w:val="28"/>
          <w:szCs w:val="28"/>
        </w:rPr>
      </w:pPr>
      <w:r w:rsidRPr="009B4A81">
        <w:rPr>
          <w:rFonts w:ascii="仿宋_GB2312" w:eastAsia="仿宋_GB2312" w:hAnsi="仿宋" w:cs="仿宋" w:hint="eastAsia"/>
          <w:sz w:val="28"/>
          <w:szCs w:val="28"/>
        </w:rPr>
        <w:t>镇政府作出下表所列行政执法事项目录中，凡涉及重大公共利益，可能造成重大社会影响或引发社会风险，直接关系行政相对人或第三人重大权益，经过听证程序作出行政执法决定，以及案件情况疑难复杂、涉及多个法律关系的行政执法决定，应当提交司法局合法性审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2229"/>
        <w:gridCol w:w="9028"/>
        <w:gridCol w:w="1952"/>
      </w:tblGrid>
      <w:tr w:rsidR="009740C9" w:rsidRPr="009B4A81" w:rsidTr="009044B5">
        <w:tc>
          <w:tcPr>
            <w:tcW w:w="675" w:type="dxa"/>
          </w:tcPr>
          <w:p w:rsidR="009740C9" w:rsidRPr="009B4A81" w:rsidRDefault="009740C9" w:rsidP="009044B5">
            <w:pPr>
              <w:widowControl w:val="0"/>
              <w:spacing w:line="500" w:lineRule="exact"/>
              <w:jc w:val="center"/>
              <w:rPr>
                <w:rFonts w:ascii="仿宋_GB2312" w:eastAsia="仿宋_GB2312" w:hAnsi="宋体" w:cs="宋体"/>
                <w:sz w:val="28"/>
                <w:szCs w:val="28"/>
              </w:rPr>
            </w:pPr>
            <w:r w:rsidRPr="009B4A81">
              <w:rPr>
                <w:rFonts w:ascii="仿宋_GB2312" w:eastAsia="仿宋_GB2312" w:hint="eastAsia"/>
                <w:sz w:val="28"/>
                <w:szCs w:val="28"/>
              </w:rPr>
              <w:t>序号</w:t>
            </w:r>
          </w:p>
        </w:tc>
        <w:tc>
          <w:tcPr>
            <w:tcW w:w="2268" w:type="dxa"/>
          </w:tcPr>
          <w:p w:rsidR="009740C9" w:rsidRPr="009B4A81" w:rsidRDefault="009740C9" w:rsidP="009044B5">
            <w:pPr>
              <w:widowControl w:val="0"/>
              <w:spacing w:line="500" w:lineRule="exact"/>
              <w:jc w:val="center"/>
              <w:rPr>
                <w:rFonts w:ascii="仿宋_GB2312" w:eastAsia="仿宋_GB2312" w:hAnsi="宋体" w:cs="宋体"/>
                <w:sz w:val="28"/>
                <w:szCs w:val="28"/>
              </w:rPr>
            </w:pPr>
            <w:r w:rsidRPr="009B4A81">
              <w:rPr>
                <w:rFonts w:ascii="仿宋_GB2312" w:eastAsia="仿宋_GB2312" w:hAnsi="宋体" w:cs="宋体" w:hint="eastAsia"/>
                <w:sz w:val="28"/>
                <w:szCs w:val="28"/>
              </w:rPr>
              <w:t>事项名称</w:t>
            </w:r>
          </w:p>
        </w:tc>
        <w:tc>
          <w:tcPr>
            <w:tcW w:w="9214" w:type="dxa"/>
          </w:tcPr>
          <w:p w:rsidR="009740C9" w:rsidRPr="009B4A81" w:rsidRDefault="009740C9" w:rsidP="009044B5">
            <w:pPr>
              <w:widowControl w:val="0"/>
              <w:spacing w:line="500" w:lineRule="exact"/>
              <w:jc w:val="center"/>
              <w:rPr>
                <w:rFonts w:ascii="仿宋_GB2312" w:eastAsia="仿宋_GB2312" w:hAnsi="宋体" w:cs="宋体"/>
                <w:sz w:val="28"/>
                <w:szCs w:val="28"/>
              </w:rPr>
            </w:pPr>
            <w:r w:rsidRPr="009B4A81">
              <w:rPr>
                <w:rFonts w:ascii="仿宋_GB2312" w:eastAsia="仿宋_GB2312" w:hAnsi="宋体" w:cs="宋体" w:hint="eastAsia"/>
                <w:sz w:val="28"/>
                <w:szCs w:val="28"/>
              </w:rPr>
              <w:t>法律依据</w:t>
            </w:r>
          </w:p>
        </w:tc>
        <w:tc>
          <w:tcPr>
            <w:tcW w:w="1985" w:type="dxa"/>
          </w:tcPr>
          <w:p w:rsidR="009740C9" w:rsidRPr="009B4A81" w:rsidRDefault="009740C9" w:rsidP="009044B5">
            <w:pPr>
              <w:widowControl w:val="0"/>
              <w:spacing w:line="500" w:lineRule="exact"/>
              <w:jc w:val="center"/>
              <w:rPr>
                <w:rFonts w:ascii="仿宋_GB2312" w:eastAsia="仿宋_GB2312" w:hAnsi="宋体" w:cs="宋体"/>
                <w:sz w:val="28"/>
                <w:szCs w:val="28"/>
              </w:rPr>
            </w:pPr>
            <w:r w:rsidRPr="009B4A81">
              <w:rPr>
                <w:rFonts w:ascii="仿宋_GB2312" w:eastAsia="仿宋_GB2312" w:hAnsi="宋体" w:cs="宋体" w:hint="eastAsia"/>
                <w:sz w:val="28"/>
                <w:szCs w:val="28"/>
              </w:rPr>
              <w:t>审核时间</w:t>
            </w:r>
          </w:p>
        </w:tc>
      </w:tr>
      <w:tr w:rsidR="009740C9" w:rsidRPr="009B4A81" w:rsidTr="009044B5">
        <w:tc>
          <w:tcPr>
            <w:tcW w:w="675" w:type="dxa"/>
            <w:vAlign w:val="center"/>
          </w:tcPr>
          <w:p w:rsidR="009740C9" w:rsidRPr="009B4A81" w:rsidRDefault="009740C9" w:rsidP="009044B5">
            <w:pPr>
              <w:widowControl w:val="0"/>
              <w:spacing w:line="500" w:lineRule="exact"/>
              <w:jc w:val="center"/>
              <w:rPr>
                <w:rFonts w:ascii="仿宋_GB2312" w:eastAsia="仿宋_GB2312" w:hAnsi="宋体" w:cs="宋体"/>
                <w:sz w:val="28"/>
                <w:szCs w:val="28"/>
              </w:rPr>
            </w:pPr>
            <w:r w:rsidRPr="009B4A81">
              <w:rPr>
                <w:rFonts w:ascii="仿宋_GB2312" w:eastAsia="仿宋_GB2312" w:hAnsi="宋体" w:cs="宋体" w:hint="eastAsia"/>
                <w:sz w:val="28"/>
                <w:szCs w:val="28"/>
              </w:rPr>
              <w:t>1</w:t>
            </w:r>
          </w:p>
        </w:tc>
        <w:tc>
          <w:tcPr>
            <w:tcW w:w="2268" w:type="dxa"/>
            <w:vAlign w:val="center"/>
          </w:tcPr>
          <w:p w:rsidR="009740C9" w:rsidRPr="009B4A81" w:rsidRDefault="009740C9" w:rsidP="009044B5">
            <w:pPr>
              <w:widowControl w:val="0"/>
              <w:spacing w:line="500" w:lineRule="exact"/>
              <w:jc w:val="center"/>
              <w:rPr>
                <w:rFonts w:ascii="仿宋_GB2312" w:eastAsia="仿宋_GB2312" w:hAnsi="宋体" w:cs="宋体"/>
                <w:sz w:val="28"/>
                <w:szCs w:val="28"/>
              </w:rPr>
            </w:pPr>
            <w:r w:rsidRPr="009B4A81">
              <w:rPr>
                <w:rFonts w:ascii="仿宋_GB2312" w:eastAsia="仿宋_GB2312" w:hAnsi="宋体" w:cs="宋体" w:hint="eastAsia"/>
                <w:sz w:val="28"/>
                <w:szCs w:val="28"/>
              </w:rPr>
              <w:t>农村违章建筑的制止与拆除</w:t>
            </w:r>
          </w:p>
        </w:tc>
        <w:tc>
          <w:tcPr>
            <w:tcW w:w="9214" w:type="dxa"/>
          </w:tcPr>
          <w:p w:rsidR="009740C9" w:rsidRPr="009B4A81" w:rsidRDefault="009740C9" w:rsidP="009044B5">
            <w:pPr>
              <w:widowControl w:val="0"/>
              <w:spacing w:line="500" w:lineRule="exact"/>
              <w:jc w:val="both"/>
              <w:rPr>
                <w:rFonts w:ascii="仿宋_GB2312" w:eastAsia="仿宋_GB2312" w:hint="eastAsia"/>
                <w:sz w:val="28"/>
                <w:szCs w:val="28"/>
              </w:rPr>
            </w:pPr>
            <w:r w:rsidRPr="009B4A81">
              <w:rPr>
                <w:rFonts w:ascii="仿宋_GB2312" w:eastAsia="仿宋_GB2312" w:hint="eastAsia"/>
                <w:sz w:val="28"/>
                <w:szCs w:val="28"/>
              </w:rPr>
              <w:t>《中华人民共和国城乡规划法》</w:t>
            </w:r>
          </w:p>
          <w:p w:rsidR="009740C9" w:rsidRPr="009B4A81" w:rsidRDefault="009740C9" w:rsidP="009044B5">
            <w:pPr>
              <w:widowControl w:val="0"/>
              <w:spacing w:line="500" w:lineRule="exact"/>
              <w:jc w:val="both"/>
              <w:rPr>
                <w:rFonts w:ascii="仿宋_GB2312" w:eastAsia="仿宋_GB2312" w:hAnsi="宋体" w:cs="宋体"/>
                <w:sz w:val="28"/>
                <w:szCs w:val="28"/>
              </w:rPr>
            </w:pPr>
            <w:r w:rsidRPr="009B4A81">
              <w:rPr>
                <w:rFonts w:ascii="仿宋_GB2312" w:eastAsia="仿宋_GB2312" w:hint="eastAsia"/>
                <w:sz w:val="28"/>
                <w:szCs w:val="28"/>
              </w:rPr>
              <w:t>第六十五条在乡、村庄规划区内未依法取得乡村建设规划许可证或者未按照乡村建设规划许可证的规定进行建设的，由乡、镇人民政府责令停止建设、限期改正;逾期不改正的，可以拆除</w:t>
            </w:r>
          </w:p>
        </w:tc>
        <w:tc>
          <w:tcPr>
            <w:tcW w:w="1985" w:type="dxa"/>
            <w:vAlign w:val="center"/>
          </w:tcPr>
          <w:p w:rsidR="009740C9" w:rsidRPr="009B4A81" w:rsidRDefault="009740C9" w:rsidP="009044B5">
            <w:pPr>
              <w:widowControl w:val="0"/>
              <w:spacing w:line="500" w:lineRule="exact"/>
              <w:jc w:val="center"/>
              <w:rPr>
                <w:rFonts w:ascii="仿宋_GB2312" w:eastAsia="仿宋_GB2312" w:hAnsi="宋体" w:cs="宋体"/>
                <w:sz w:val="28"/>
                <w:szCs w:val="28"/>
              </w:rPr>
            </w:pPr>
          </w:p>
        </w:tc>
      </w:tr>
      <w:tr w:rsidR="009740C9" w:rsidRPr="009B4A81" w:rsidTr="009044B5">
        <w:tc>
          <w:tcPr>
            <w:tcW w:w="675" w:type="dxa"/>
            <w:vAlign w:val="center"/>
          </w:tcPr>
          <w:p w:rsidR="009740C9" w:rsidRPr="009B4A81" w:rsidRDefault="009740C9" w:rsidP="009044B5">
            <w:pPr>
              <w:widowControl w:val="0"/>
              <w:spacing w:line="500" w:lineRule="exact"/>
              <w:jc w:val="center"/>
              <w:rPr>
                <w:rFonts w:ascii="仿宋_GB2312" w:eastAsia="仿宋_GB2312" w:hAnsi="宋体" w:cs="宋体"/>
                <w:sz w:val="28"/>
                <w:szCs w:val="28"/>
              </w:rPr>
            </w:pPr>
            <w:r w:rsidRPr="009B4A81">
              <w:rPr>
                <w:rFonts w:ascii="仿宋_GB2312" w:eastAsia="仿宋_GB2312" w:hAnsi="宋体" w:cs="宋体" w:hint="eastAsia"/>
                <w:sz w:val="28"/>
                <w:szCs w:val="28"/>
              </w:rPr>
              <w:t>2</w:t>
            </w:r>
          </w:p>
        </w:tc>
        <w:tc>
          <w:tcPr>
            <w:tcW w:w="2268" w:type="dxa"/>
            <w:vAlign w:val="center"/>
          </w:tcPr>
          <w:p w:rsidR="009740C9" w:rsidRPr="009B4A81" w:rsidRDefault="009740C9" w:rsidP="009044B5">
            <w:pPr>
              <w:widowControl w:val="0"/>
              <w:spacing w:line="500" w:lineRule="exact"/>
              <w:jc w:val="center"/>
              <w:rPr>
                <w:rFonts w:ascii="仿宋_GB2312" w:eastAsia="仿宋_GB2312" w:hAnsi="宋体" w:cs="宋体"/>
                <w:sz w:val="28"/>
                <w:szCs w:val="28"/>
              </w:rPr>
            </w:pPr>
            <w:r w:rsidRPr="009B4A81">
              <w:rPr>
                <w:rFonts w:ascii="仿宋_GB2312" w:eastAsia="仿宋_GB2312" w:hAnsi="宋体" w:cs="宋体" w:hint="eastAsia"/>
                <w:sz w:val="28"/>
                <w:szCs w:val="28"/>
              </w:rPr>
              <w:t>承包土地调整审批</w:t>
            </w:r>
          </w:p>
        </w:tc>
        <w:tc>
          <w:tcPr>
            <w:tcW w:w="9214" w:type="dxa"/>
          </w:tcPr>
          <w:p w:rsidR="009740C9" w:rsidRPr="009B4A81" w:rsidRDefault="009740C9" w:rsidP="009044B5">
            <w:pPr>
              <w:widowControl w:val="0"/>
              <w:spacing w:line="500" w:lineRule="exact"/>
              <w:jc w:val="both"/>
              <w:rPr>
                <w:rFonts w:ascii="仿宋_GB2312" w:eastAsia="仿宋_GB2312" w:hint="eastAsia"/>
                <w:sz w:val="28"/>
                <w:szCs w:val="28"/>
              </w:rPr>
            </w:pPr>
            <w:r w:rsidRPr="009B4A81">
              <w:rPr>
                <w:rFonts w:ascii="仿宋_GB2312" w:eastAsia="仿宋_GB2312" w:hint="eastAsia"/>
                <w:sz w:val="28"/>
                <w:szCs w:val="28"/>
              </w:rPr>
              <w:t>1.《中华人民共和国农村土地承包法》第二十八条承包期内，发包方不得调整承包地。</w:t>
            </w:r>
          </w:p>
          <w:p w:rsidR="009740C9" w:rsidRPr="009B4A81" w:rsidRDefault="009740C9" w:rsidP="009044B5">
            <w:pPr>
              <w:widowControl w:val="0"/>
              <w:spacing w:line="500" w:lineRule="exact"/>
              <w:jc w:val="both"/>
              <w:rPr>
                <w:rFonts w:ascii="仿宋_GB2312" w:eastAsia="仿宋_GB2312" w:hAnsi="宋体" w:cs="宋体"/>
                <w:sz w:val="28"/>
                <w:szCs w:val="28"/>
              </w:rPr>
            </w:pPr>
            <w:r w:rsidRPr="009B4A81">
              <w:rPr>
                <w:rFonts w:ascii="仿宋_GB2312" w:eastAsia="仿宋_GB2312" w:hint="eastAsia"/>
                <w:sz w:val="28"/>
                <w:szCs w:val="28"/>
              </w:rPr>
              <w:t>承包期内，因自然灾害严重毁损承包地等特殊情形对个别农户之间承包的耕地和草地需要适当调整的，必须经本集体经济组织成员的村民会议三分之二以上成员或者三分之二以上村民代表的同意，并报多(镇)人民政府和县级人民政府农业农村、林业和草原等主管部们批。承包合同中</w:t>
            </w:r>
            <w:r w:rsidRPr="009B4A81">
              <w:rPr>
                <w:rFonts w:ascii="仿宋_GB2312" w:eastAsia="仿宋_GB2312" w:hint="eastAsia"/>
                <w:sz w:val="28"/>
                <w:szCs w:val="28"/>
              </w:rPr>
              <w:lastRenderedPageBreak/>
              <w:t>约定不得调整的，按照其约定</w:t>
            </w:r>
          </w:p>
        </w:tc>
        <w:tc>
          <w:tcPr>
            <w:tcW w:w="1985" w:type="dxa"/>
            <w:vAlign w:val="center"/>
          </w:tcPr>
          <w:p w:rsidR="009740C9" w:rsidRPr="009B4A81" w:rsidRDefault="009740C9" w:rsidP="009044B5">
            <w:pPr>
              <w:widowControl w:val="0"/>
              <w:spacing w:line="500" w:lineRule="exact"/>
              <w:jc w:val="center"/>
              <w:rPr>
                <w:rFonts w:ascii="仿宋_GB2312" w:eastAsia="仿宋_GB2312" w:hAnsi="宋体" w:cs="宋体"/>
                <w:sz w:val="28"/>
                <w:szCs w:val="28"/>
              </w:rPr>
            </w:pPr>
          </w:p>
        </w:tc>
      </w:tr>
      <w:tr w:rsidR="009740C9" w:rsidRPr="009B4A81" w:rsidTr="009044B5">
        <w:tc>
          <w:tcPr>
            <w:tcW w:w="675" w:type="dxa"/>
            <w:vAlign w:val="center"/>
          </w:tcPr>
          <w:p w:rsidR="009740C9" w:rsidRPr="009B4A81" w:rsidRDefault="009740C9" w:rsidP="009044B5">
            <w:pPr>
              <w:widowControl w:val="0"/>
              <w:spacing w:line="500" w:lineRule="exact"/>
              <w:jc w:val="center"/>
              <w:rPr>
                <w:rFonts w:ascii="仿宋_GB2312" w:eastAsia="仿宋_GB2312" w:hAnsi="宋体" w:cs="宋体"/>
                <w:sz w:val="28"/>
                <w:szCs w:val="28"/>
              </w:rPr>
            </w:pPr>
            <w:r w:rsidRPr="009B4A81">
              <w:rPr>
                <w:rFonts w:ascii="仿宋_GB2312" w:eastAsia="仿宋_GB2312" w:hAnsi="宋体" w:cs="宋体" w:hint="eastAsia"/>
                <w:sz w:val="28"/>
                <w:szCs w:val="28"/>
              </w:rPr>
              <w:lastRenderedPageBreak/>
              <w:t>3</w:t>
            </w:r>
          </w:p>
        </w:tc>
        <w:tc>
          <w:tcPr>
            <w:tcW w:w="2268" w:type="dxa"/>
            <w:vAlign w:val="center"/>
          </w:tcPr>
          <w:p w:rsidR="009740C9" w:rsidRPr="009B4A81" w:rsidRDefault="009740C9" w:rsidP="009044B5">
            <w:pPr>
              <w:widowControl w:val="0"/>
              <w:spacing w:line="500" w:lineRule="exact"/>
              <w:jc w:val="center"/>
              <w:rPr>
                <w:rFonts w:ascii="仿宋_GB2312" w:eastAsia="仿宋_GB2312" w:hAnsi="宋体" w:cs="宋体"/>
                <w:sz w:val="28"/>
                <w:szCs w:val="28"/>
              </w:rPr>
            </w:pPr>
            <w:r w:rsidRPr="009B4A81">
              <w:rPr>
                <w:rFonts w:ascii="仿宋_GB2312" w:eastAsia="仿宋_GB2312" w:hAnsi="宋体" w:cs="宋体" w:hint="eastAsia"/>
                <w:sz w:val="28"/>
                <w:szCs w:val="28"/>
              </w:rPr>
              <w:t>村规民约</w:t>
            </w:r>
          </w:p>
        </w:tc>
        <w:tc>
          <w:tcPr>
            <w:tcW w:w="9214" w:type="dxa"/>
          </w:tcPr>
          <w:p w:rsidR="009740C9" w:rsidRPr="009B4A81" w:rsidRDefault="009740C9" w:rsidP="009044B5">
            <w:pPr>
              <w:widowControl w:val="0"/>
              <w:spacing w:line="500" w:lineRule="exact"/>
              <w:jc w:val="both"/>
              <w:rPr>
                <w:rFonts w:ascii="仿宋_GB2312" w:eastAsia="仿宋_GB2312" w:hint="eastAsia"/>
                <w:sz w:val="28"/>
                <w:szCs w:val="28"/>
              </w:rPr>
            </w:pPr>
            <w:r w:rsidRPr="009B4A81">
              <w:rPr>
                <w:rFonts w:ascii="仿宋_GB2312" w:eastAsia="仿宋_GB2312" w:hint="eastAsia"/>
                <w:sz w:val="28"/>
                <w:szCs w:val="28"/>
              </w:rPr>
              <w:t>1.《中华人民共和国村民委员会组织法》第二十七条第二款村民自治章程、村规民约以及村民会议或者村民代表会议的决定不得与宪法、法律、法规和国家的政策相抵触，不得有侵犯村民的人身权利、民主权利和合法财产利的内容。第二十七条第三款村民自治章程、村规民约以及村民会议或者村民代表会议的决定违反前款规定的，由乡、民族乡、镇的人民政府责令改正。</w:t>
            </w:r>
          </w:p>
          <w:p w:rsidR="009740C9" w:rsidRPr="009B4A81" w:rsidRDefault="009740C9" w:rsidP="009044B5">
            <w:pPr>
              <w:widowControl w:val="0"/>
              <w:spacing w:line="500" w:lineRule="exact"/>
              <w:jc w:val="both"/>
              <w:rPr>
                <w:rFonts w:ascii="仿宋_GB2312" w:eastAsia="仿宋_GB2312" w:hint="eastAsia"/>
                <w:sz w:val="28"/>
                <w:szCs w:val="28"/>
              </w:rPr>
            </w:pPr>
            <w:r w:rsidRPr="009B4A81">
              <w:rPr>
                <w:rFonts w:ascii="仿宋_GB2312" w:eastAsia="仿宋_GB2312" w:hint="eastAsia"/>
                <w:sz w:val="28"/>
                <w:szCs w:val="28"/>
              </w:rPr>
              <w:t>2.《浙江省实施(中华人民共和国村民委员会</w:t>
            </w:r>
            <w:r w:rsidRPr="009B4A81">
              <w:rPr>
                <w:rFonts w:ascii="仿宋_GB2312" w:hint="eastAsia"/>
                <w:sz w:val="28"/>
                <w:szCs w:val="28"/>
              </w:rPr>
              <w:t>組</w:t>
            </w:r>
            <w:r w:rsidRPr="009B4A81">
              <w:rPr>
                <w:rFonts w:ascii="仿宋_GB2312" w:eastAsia="仿宋_GB2312" w:hint="eastAsia"/>
                <w:sz w:val="28"/>
                <w:szCs w:val="28"/>
              </w:rPr>
              <w:t>织法办法》第四十二条村民自治章程、村规民约以及村民会议或者村民代表会议的决定不得与宪法、法律、法规和国家的政策相抵触，不得有侵犯村民的人身权利、民主权利和合法财产权利的内容。村民自治章程、村规民约以及村民会议说或者村民代表会议的决定违反前款规定的，的，由乡、镇人民政府责令改正;侵害村民合法权益的，应当依法给予赔偿第四十六条本办法由各级人民政府组织实施，</w:t>
            </w:r>
            <w:r w:rsidRPr="009B4A81">
              <w:rPr>
                <w:rFonts w:ascii="仿宋_GB2312" w:hint="eastAsia"/>
                <w:sz w:val="28"/>
                <w:szCs w:val="28"/>
              </w:rPr>
              <w:t>轄</w:t>
            </w:r>
            <w:r w:rsidRPr="009B4A81">
              <w:rPr>
                <w:rFonts w:ascii="仿宋_GB2312" w:eastAsia="仿宋_GB2312" w:hint="eastAsia"/>
                <w:sz w:val="28"/>
                <w:szCs w:val="28"/>
              </w:rPr>
              <w:t>有村的街道办事处履行本办法所规定的应当由乡、镇人民政府履行的职责</w:t>
            </w:r>
          </w:p>
        </w:tc>
        <w:tc>
          <w:tcPr>
            <w:tcW w:w="1985" w:type="dxa"/>
            <w:vAlign w:val="center"/>
          </w:tcPr>
          <w:p w:rsidR="009740C9" w:rsidRPr="009B4A81" w:rsidRDefault="009740C9" w:rsidP="009044B5">
            <w:pPr>
              <w:widowControl w:val="0"/>
              <w:spacing w:line="500" w:lineRule="exact"/>
              <w:jc w:val="center"/>
              <w:rPr>
                <w:rFonts w:ascii="仿宋_GB2312" w:eastAsia="仿宋_GB2312" w:hAnsi="宋体" w:cs="宋体"/>
                <w:sz w:val="28"/>
                <w:szCs w:val="28"/>
              </w:rPr>
            </w:pPr>
          </w:p>
        </w:tc>
      </w:tr>
    </w:tbl>
    <w:p w:rsidR="009740C9" w:rsidRPr="00F2187D" w:rsidRDefault="009740C9" w:rsidP="009740C9">
      <w:pPr>
        <w:spacing w:line="500" w:lineRule="exact"/>
        <w:jc w:val="both"/>
        <w:rPr>
          <w:rFonts w:ascii="宋体" w:hAnsi="宋体" w:cs="宋体"/>
          <w:sz w:val="44"/>
          <w:szCs w:val="44"/>
        </w:rPr>
      </w:pPr>
    </w:p>
    <w:p w:rsidR="009740C9" w:rsidRDefault="009740C9">
      <w:pPr>
        <w:rPr>
          <w:rFonts w:hint="eastAsia"/>
        </w:rPr>
      </w:pPr>
    </w:p>
    <w:sectPr w:rsidR="009740C9" w:rsidSect="00650989">
      <w:footerReference w:type="default" r:id="rId7"/>
      <w:pgSz w:w="16838" w:h="11906" w:orient="landscape"/>
      <w:pgMar w:top="1587" w:right="1587" w:bottom="1587" w:left="1587" w:header="851" w:footer="992" w:gutter="0"/>
      <w:pgNumType w:start="2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A92" w:rsidRDefault="003C3A92" w:rsidP="00650989">
      <w:pPr>
        <w:rPr>
          <w:rFonts w:hint="eastAsia"/>
        </w:rPr>
      </w:pPr>
      <w:r>
        <w:separator/>
      </w:r>
    </w:p>
  </w:endnote>
  <w:endnote w:type="continuationSeparator" w:id="0">
    <w:p w:rsidR="003C3A92" w:rsidRDefault="003C3A92" w:rsidP="0065098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89" w:rsidRDefault="002511F7">
    <w:pPr>
      <w:pStyle w:val="a3"/>
      <w:rPr>
        <w:rFonts w:hint="eastAsia"/>
      </w:rPr>
    </w:pPr>
    <w:r>
      <w:rPr>
        <w:rFonts w:hint="eastAsia"/>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650989" w:rsidRDefault="00650989">
                <w:pPr>
                  <w:pStyle w:val="a3"/>
                  <w:rPr>
                    <w:rFonts w:hint="eastAsia"/>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A92" w:rsidRDefault="003C3A92" w:rsidP="00650989">
      <w:pPr>
        <w:rPr>
          <w:rFonts w:hint="eastAsia"/>
        </w:rPr>
      </w:pPr>
      <w:r>
        <w:separator/>
      </w:r>
    </w:p>
  </w:footnote>
  <w:footnote w:type="continuationSeparator" w:id="0">
    <w:p w:rsidR="003C3A92" w:rsidRDefault="003C3A92" w:rsidP="00650989">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FBF572B"/>
    <w:rsid w:val="002511F7"/>
    <w:rsid w:val="003C3A92"/>
    <w:rsid w:val="00650989"/>
    <w:rsid w:val="009740C9"/>
    <w:rsid w:val="009B4D54"/>
    <w:rsid w:val="00C83DCD"/>
    <w:rsid w:val="2FBF5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989"/>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0989"/>
    <w:pPr>
      <w:tabs>
        <w:tab w:val="center" w:pos="4153"/>
        <w:tab w:val="right" w:pos="8306"/>
      </w:tabs>
      <w:snapToGrid w:val="0"/>
    </w:pPr>
    <w:rPr>
      <w:sz w:val="18"/>
    </w:rPr>
  </w:style>
  <w:style w:type="paragraph" w:styleId="a4">
    <w:name w:val="header"/>
    <w:basedOn w:val="a"/>
    <w:rsid w:val="0065098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5">
    <w:name w:val="Table Grid"/>
    <w:basedOn w:val="a1"/>
    <w:qFormat/>
    <w:rsid w:val="006509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524</Words>
  <Characters>2991</Characters>
  <Application>Microsoft Office Word</Application>
  <DocSecurity>0</DocSecurity>
  <Lines>24</Lines>
  <Paragraphs>7</Paragraphs>
  <ScaleCrop>false</ScaleCrop>
  <Company>Microsoft</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汪娅婷</dc:creator>
  <cp:lastModifiedBy>Administrator</cp:lastModifiedBy>
  <cp:revision>2</cp:revision>
  <cp:lastPrinted>2020-10-28T01:01:00Z</cp:lastPrinted>
  <dcterms:created xsi:type="dcterms:W3CDTF">2020-10-28T01:02:00Z</dcterms:created>
  <dcterms:modified xsi:type="dcterms:W3CDTF">2020-10-28T01:02:00Z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