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val="0"/>
          <w:color w:val="auto"/>
          <w:sz w:val="44"/>
          <w:szCs w:val="44"/>
        </w:rPr>
      </w:pPr>
      <w:r>
        <w:rPr>
          <w:rFonts w:hint="eastAsia" w:ascii="黑体" w:eastAsia="黑体"/>
          <w:b/>
          <w:bCs w:val="0"/>
          <w:color w:val="auto"/>
          <w:sz w:val="44"/>
          <w:szCs w:val="44"/>
          <w:lang w:eastAsia="zh-CN"/>
        </w:rPr>
        <w:t>东阳市综合行政执法局</w:t>
      </w:r>
      <w:r>
        <w:rPr>
          <w:rFonts w:hint="eastAsia" w:ascii="黑体" w:eastAsia="黑体"/>
          <w:b/>
          <w:bCs w:val="0"/>
          <w:color w:val="auto"/>
          <w:sz w:val="44"/>
          <w:szCs w:val="44"/>
        </w:rPr>
        <w:t>文物</w:t>
      </w:r>
      <w:r>
        <w:rPr>
          <w:rFonts w:hint="eastAsia" w:ascii="黑体" w:eastAsia="黑体"/>
          <w:b/>
          <w:bCs w:val="0"/>
          <w:color w:val="auto"/>
          <w:sz w:val="44"/>
          <w:szCs w:val="44"/>
          <w:lang w:eastAsia="zh-CN"/>
        </w:rPr>
        <w:t>事项</w:t>
      </w:r>
      <w:r>
        <w:rPr>
          <w:rFonts w:hint="eastAsia" w:ascii="黑体" w:eastAsia="黑体"/>
          <w:b/>
          <w:bCs w:val="0"/>
          <w:color w:val="auto"/>
          <w:sz w:val="44"/>
          <w:szCs w:val="44"/>
        </w:rPr>
        <w:t>行政处罚自由裁量权</w:t>
      </w:r>
      <w:r>
        <w:rPr>
          <w:rFonts w:hint="eastAsia" w:ascii="黑体" w:eastAsia="黑体"/>
          <w:b/>
          <w:bCs w:val="0"/>
          <w:color w:val="auto"/>
          <w:sz w:val="44"/>
          <w:szCs w:val="44"/>
          <w:lang w:eastAsia="zh-CN"/>
        </w:rPr>
        <w:t>基</w:t>
      </w:r>
      <w:r>
        <w:rPr>
          <w:rFonts w:hint="eastAsia" w:ascii="黑体" w:eastAsia="黑体"/>
          <w:b/>
          <w:bCs w:val="0"/>
          <w:color w:val="auto"/>
          <w:sz w:val="44"/>
          <w:szCs w:val="44"/>
        </w:rPr>
        <w:t>准(</w:t>
      </w:r>
      <w:r>
        <w:rPr>
          <w:rFonts w:hint="eastAsia" w:ascii="黑体" w:eastAsia="黑体"/>
          <w:b/>
          <w:bCs w:val="0"/>
          <w:color w:val="auto"/>
          <w:sz w:val="44"/>
          <w:szCs w:val="44"/>
          <w:lang w:val="en-US" w:eastAsia="zh-CN"/>
        </w:rPr>
        <w:t>2022版</w:t>
      </w:r>
      <w:r>
        <w:rPr>
          <w:rFonts w:hint="eastAsia" w:ascii="黑体" w:eastAsia="黑体"/>
          <w:b/>
          <w:bCs w:val="0"/>
          <w:color w:val="auto"/>
          <w:sz w:val="44"/>
          <w:szCs w:val="44"/>
        </w:rPr>
        <w:t>)</w:t>
      </w:r>
    </w:p>
    <w:p>
      <w:pPr>
        <w:jc w:val="center"/>
        <w:rPr>
          <w:rFonts w:hint="eastAsia" w:ascii="黑体" w:eastAsia="黑体"/>
          <w:b/>
          <w:bCs w:val="0"/>
          <w:color w:val="auto"/>
          <w:sz w:val="44"/>
          <w:szCs w:val="44"/>
          <w:lang w:eastAsia="zh-CN"/>
        </w:rPr>
      </w:pPr>
      <w:r>
        <w:rPr>
          <w:rFonts w:hint="eastAsia" w:ascii="黑体" w:eastAsia="黑体"/>
          <w:b/>
          <w:bCs w:val="0"/>
          <w:color w:val="auto"/>
          <w:sz w:val="44"/>
          <w:szCs w:val="44"/>
          <w:lang w:eastAsia="zh-CN"/>
        </w:rPr>
        <w:t>（参照省厅标准）</w:t>
      </w:r>
    </w:p>
    <w:p>
      <w:pPr>
        <w:jc w:val="center"/>
        <w:rPr>
          <w:rFonts w:hint="eastAsia" w:ascii="黑体" w:eastAsia="黑体"/>
          <w:b/>
          <w:bCs w:val="0"/>
          <w:color w:val="auto"/>
          <w:sz w:val="44"/>
          <w:szCs w:val="44"/>
        </w:rPr>
      </w:pPr>
    </w:p>
    <w:tbl>
      <w:tblPr>
        <w:tblStyle w:val="5"/>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690"/>
        <w:gridCol w:w="500"/>
        <w:gridCol w:w="1747"/>
        <w:gridCol w:w="1742"/>
        <w:gridCol w:w="717"/>
        <w:gridCol w:w="1434"/>
        <w:gridCol w:w="321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39" w:type="dxa"/>
            <w:vMerge w:val="restart"/>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序</w:t>
            </w:r>
          </w:p>
          <w:p>
            <w:pPr>
              <w:jc w:val="center"/>
              <w:rPr>
                <w:rFonts w:hint="eastAsia" w:ascii="宋体" w:hAnsi="宋体" w:eastAsia="宋体"/>
                <w:b/>
                <w:color w:val="auto"/>
                <w:sz w:val="21"/>
                <w:szCs w:val="21"/>
              </w:rPr>
            </w:pPr>
            <w:r>
              <w:rPr>
                <w:rFonts w:hint="eastAsia" w:ascii="宋体" w:hAnsi="宋体" w:eastAsia="宋体"/>
                <w:b/>
                <w:color w:val="auto"/>
                <w:sz w:val="21"/>
                <w:szCs w:val="21"/>
              </w:rPr>
              <w:t>号</w:t>
            </w:r>
          </w:p>
        </w:tc>
        <w:tc>
          <w:tcPr>
            <w:tcW w:w="690" w:type="dxa"/>
            <w:vMerge w:val="restart"/>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法律法规名称</w:t>
            </w:r>
          </w:p>
        </w:tc>
        <w:tc>
          <w:tcPr>
            <w:tcW w:w="2247" w:type="dxa"/>
            <w:gridSpan w:val="2"/>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依据及规定内容</w:t>
            </w:r>
          </w:p>
        </w:tc>
        <w:tc>
          <w:tcPr>
            <w:tcW w:w="1742" w:type="dxa"/>
            <w:vMerge w:val="restart"/>
            <w:noWrap w:val="0"/>
            <w:vAlign w:val="center"/>
          </w:tcPr>
          <w:p>
            <w:pPr>
              <w:spacing w:line="480" w:lineRule="auto"/>
              <w:jc w:val="center"/>
              <w:rPr>
                <w:rFonts w:hint="eastAsia" w:ascii="宋体" w:hAnsi="宋体" w:eastAsia="宋体"/>
                <w:b/>
                <w:color w:val="auto"/>
                <w:sz w:val="21"/>
                <w:szCs w:val="21"/>
              </w:rPr>
            </w:pPr>
            <w:r>
              <w:rPr>
                <w:rFonts w:hint="eastAsia" w:ascii="宋体" w:hAnsi="宋体" w:eastAsia="宋体"/>
                <w:b/>
                <w:color w:val="auto"/>
                <w:sz w:val="21"/>
                <w:szCs w:val="21"/>
              </w:rPr>
              <w:t>违 法 行 为</w:t>
            </w:r>
          </w:p>
        </w:tc>
        <w:tc>
          <w:tcPr>
            <w:tcW w:w="717" w:type="dxa"/>
            <w:vMerge w:val="restart"/>
            <w:noWrap w:val="0"/>
            <w:vAlign w:val="center"/>
          </w:tcPr>
          <w:p>
            <w:pPr>
              <w:rPr>
                <w:rFonts w:hint="eastAsia" w:ascii="宋体" w:hAnsi="宋体" w:eastAsia="宋体"/>
                <w:b/>
                <w:color w:val="auto"/>
                <w:sz w:val="21"/>
                <w:szCs w:val="21"/>
              </w:rPr>
            </w:pPr>
            <w:r>
              <w:rPr>
                <w:rFonts w:hint="eastAsia" w:ascii="宋体" w:hAnsi="宋体" w:eastAsia="宋体"/>
                <w:b/>
                <w:color w:val="auto"/>
                <w:sz w:val="21"/>
                <w:szCs w:val="21"/>
              </w:rPr>
              <w:t>违法</w:t>
            </w:r>
          </w:p>
          <w:p>
            <w:pPr>
              <w:rPr>
                <w:rFonts w:hint="eastAsia" w:ascii="宋体" w:hAnsi="宋体" w:eastAsia="宋体"/>
                <w:b/>
                <w:color w:val="auto"/>
                <w:sz w:val="21"/>
                <w:szCs w:val="21"/>
              </w:rPr>
            </w:pPr>
            <w:r>
              <w:rPr>
                <w:rFonts w:hint="eastAsia" w:ascii="宋体" w:hAnsi="宋体" w:eastAsia="宋体"/>
                <w:b/>
                <w:color w:val="auto"/>
                <w:sz w:val="21"/>
                <w:szCs w:val="21"/>
              </w:rPr>
              <w:t>情节</w:t>
            </w:r>
          </w:p>
        </w:tc>
        <w:tc>
          <w:tcPr>
            <w:tcW w:w="4648" w:type="dxa"/>
            <w:gridSpan w:val="2"/>
            <w:vMerge w:val="restart"/>
            <w:noWrap w:val="0"/>
            <w:vAlign w:val="center"/>
          </w:tcPr>
          <w:p>
            <w:pPr>
              <w:spacing w:line="480" w:lineRule="auto"/>
              <w:jc w:val="center"/>
              <w:rPr>
                <w:rFonts w:hint="eastAsia" w:ascii="宋体" w:hAnsi="宋体" w:eastAsia="宋体"/>
                <w:b/>
                <w:color w:val="auto"/>
                <w:sz w:val="21"/>
                <w:szCs w:val="21"/>
              </w:rPr>
            </w:pPr>
            <w:r>
              <w:rPr>
                <w:rFonts w:hint="eastAsia" w:ascii="宋体" w:hAnsi="宋体" w:eastAsia="宋体"/>
                <w:b/>
                <w:color w:val="auto"/>
                <w:sz w:val="21"/>
                <w:szCs w:val="21"/>
              </w:rPr>
              <w:t>违  法  程  度</w:t>
            </w:r>
          </w:p>
        </w:tc>
        <w:tc>
          <w:tcPr>
            <w:tcW w:w="3925" w:type="dxa"/>
            <w:vMerge w:val="restart"/>
            <w:noWrap w:val="0"/>
            <w:vAlign w:val="center"/>
          </w:tcPr>
          <w:p>
            <w:pPr>
              <w:spacing w:line="480" w:lineRule="auto"/>
              <w:jc w:val="center"/>
              <w:rPr>
                <w:rFonts w:hint="eastAsia" w:ascii="宋体" w:hAnsi="宋体" w:eastAsia="宋体"/>
                <w:b/>
                <w:color w:val="auto"/>
                <w:sz w:val="21"/>
                <w:szCs w:val="21"/>
              </w:rPr>
            </w:pPr>
            <w:r>
              <w:rPr>
                <w:rFonts w:hint="eastAsia" w:ascii="宋体" w:hAnsi="宋体" w:eastAsia="宋体"/>
                <w:b/>
                <w:color w:val="auto"/>
                <w:sz w:val="21"/>
                <w:szCs w:val="21"/>
              </w:rPr>
              <w:t>裁  量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9" w:type="dxa"/>
            <w:vMerge w:val="continue"/>
            <w:noWrap w:val="0"/>
            <w:vAlign w:val="top"/>
          </w:tcPr>
          <w:p>
            <w:pPr>
              <w:jc w:val="center"/>
              <w:rPr>
                <w:rFonts w:hint="eastAsia" w:ascii="宋体" w:hAnsi="宋体" w:eastAsia="宋体"/>
                <w:b/>
                <w:color w:val="auto"/>
                <w:sz w:val="21"/>
                <w:szCs w:val="21"/>
              </w:rPr>
            </w:pPr>
          </w:p>
        </w:tc>
        <w:tc>
          <w:tcPr>
            <w:tcW w:w="690" w:type="dxa"/>
            <w:vMerge w:val="continue"/>
            <w:noWrap w:val="0"/>
            <w:vAlign w:val="top"/>
          </w:tcPr>
          <w:p>
            <w:pPr>
              <w:jc w:val="center"/>
              <w:rPr>
                <w:rFonts w:hint="eastAsia" w:ascii="宋体" w:hAnsi="宋体" w:eastAsia="宋体"/>
                <w:b/>
                <w:color w:val="auto"/>
                <w:sz w:val="21"/>
                <w:szCs w:val="21"/>
              </w:rPr>
            </w:pPr>
          </w:p>
        </w:tc>
        <w:tc>
          <w:tcPr>
            <w:tcW w:w="500" w:type="dxa"/>
            <w:vMerge w:val="restart"/>
            <w:noWrap w:val="0"/>
            <w:vAlign w:val="top"/>
          </w:tcPr>
          <w:p>
            <w:pPr>
              <w:jc w:val="center"/>
              <w:rPr>
                <w:rFonts w:hint="eastAsia" w:ascii="宋体" w:hAnsi="宋体" w:eastAsia="宋体"/>
                <w:b/>
                <w:color w:val="auto"/>
                <w:sz w:val="21"/>
                <w:szCs w:val="21"/>
              </w:rPr>
            </w:pPr>
            <w:r>
              <w:rPr>
                <w:rFonts w:hint="eastAsia" w:ascii="宋体" w:hAnsi="宋体" w:eastAsia="宋体"/>
                <w:b/>
                <w:color w:val="auto"/>
                <w:sz w:val="21"/>
                <w:szCs w:val="21"/>
              </w:rPr>
              <w:t>条款</w:t>
            </w:r>
          </w:p>
        </w:tc>
        <w:tc>
          <w:tcPr>
            <w:tcW w:w="1747" w:type="dxa"/>
            <w:vMerge w:val="restart"/>
            <w:noWrap w:val="0"/>
            <w:vAlign w:val="center"/>
          </w:tcPr>
          <w:p>
            <w:pPr>
              <w:spacing w:line="360" w:lineRule="auto"/>
              <w:jc w:val="center"/>
              <w:rPr>
                <w:rFonts w:hint="eastAsia" w:ascii="宋体" w:hAnsi="宋体" w:eastAsia="宋体"/>
                <w:b/>
                <w:color w:val="auto"/>
                <w:sz w:val="21"/>
                <w:szCs w:val="21"/>
              </w:rPr>
            </w:pPr>
            <w:r>
              <w:rPr>
                <w:rFonts w:hint="eastAsia" w:ascii="宋体" w:hAnsi="宋体" w:eastAsia="宋体"/>
                <w:b/>
                <w:color w:val="auto"/>
                <w:sz w:val="21"/>
                <w:szCs w:val="21"/>
              </w:rPr>
              <w:t>规 定 内 容</w:t>
            </w:r>
          </w:p>
        </w:tc>
        <w:tc>
          <w:tcPr>
            <w:tcW w:w="1742" w:type="dxa"/>
            <w:vMerge w:val="continue"/>
            <w:noWrap w:val="0"/>
            <w:vAlign w:val="top"/>
          </w:tcPr>
          <w:p>
            <w:pPr>
              <w:jc w:val="center"/>
              <w:rPr>
                <w:rFonts w:hint="eastAsia" w:ascii="宋体" w:hAnsi="宋体" w:eastAsia="宋体"/>
                <w:b/>
                <w:color w:val="auto"/>
                <w:sz w:val="21"/>
                <w:szCs w:val="21"/>
              </w:rPr>
            </w:pPr>
          </w:p>
        </w:tc>
        <w:tc>
          <w:tcPr>
            <w:tcW w:w="717" w:type="dxa"/>
            <w:vMerge w:val="continue"/>
            <w:noWrap w:val="0"/>
            <w:vAlign w:val="top"/>
          </w:tcPr>
          <w:p>
            <w:pPr>
              <w:jc w:val="center"/>
              <w:rPr>
                <w:rFonts w:hint="eastAsia" w:ascii="宋体" w:hAnsi="宋体" w:eastAsia="宋体"/>
                <w:b/>
                <w:color w:val="auto"/>
                <w:sz w:val="21"/>
                <w:szCs w:val="21"/>
              </w:rPr>
            </w:pPr>
          </w:p>
        </w:tc>
        <w:tc>
          <w:tcPr>
            <w:tcW w:w="4648" w:type="dxa"/>
            <w:gridSpan w:val="2"/>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3925" w:type="dxa"/>
            <w:vMerge w:val="continue"/>
            <w:noWrap w:val="0"/>
            <w:vAlign w:val="top"/>
          </w:tcPr>
          <w:p>
            <w:pPr>
              <w:jc w:val="center"/>
              <w:rPr>
                <w:rFonts w:hint="eastAsia" w:ascii="宋体" w:hAnsi="宋体" w:eastAsia="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39"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690"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500"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1747" w:type="dxa"/>
            <w:vMerge w:val="continue"/>
            <w:tcBorders>
              <w:bottom w:val="single" w:color="auto" w:sz="4" w:space="0"/>
            </w:tcBorders>
            <w:noWrap w:val="0"/>
            <w:vAlign w:val="top"/>
          </w:tcPr>
          <w:p>
            <w:pPr>
              <w:spacing w:line="360" w:lineRule="auto"/>
              <w:jc w:val="center"/>
              <w:rPr>
                <w:rFonts w:hint="eastAsia" w:ascii="宋体" w:hAnsi="宋体" w:eastAsia="宋体"/>
                <w:b/>
                <w:color w:val="auto"/>
                <w:sz w:val="21"/>
                <w:szCs w:val="21"/>
              </w:rPr>
            </w:pPr>
          </w:p>
        </w:tc>
        <w:tc>
          <w:tcPr>
            <w:tcW w:w="1742"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717"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1434" w:type="dxa"/>
            <w:tcBorders>
              <w:bottom w:val="single" w:color="auto" w:sz="4" w:space="0"/>
            </w:tcBorders>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文 保 级 别</w:t>
            </w:r>
          </w:p>
        </w:tc>
        <w:tc>
          <w:tcPr>
            <w:tcW w:w="3214" w:type="dxa"/>
            <w:tcBorders>
              <w:bottom w:val="single" w:color="auto" w:sz="4" w:space="0"/>
            </w:tcBorders>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违 法 情 形</w:t>
            </w:r>
          </w:p>
        </w:tc>
        <w:tc>
          <w:tcPr>
            <w:tcW w:w="3925"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39" w:type="dxa"/>
            <w:vMerge w:val="restart"/>
            <w:noWrap w:val="0"/>
            <w:vAlign w:val="top"/>
          </w:tcPr>
          <w:p>
            <w:pPr>
              <w:jc w:val="center"/>
              <w:rPr>
                <w:rFonts w:hint="eastAsia"/>
                <w:b/>
                <w:color w:val="auto"/>
              </w:rPr>
            </w:pPr>
            <w:r>
              <w:rPr>
                <w:rFonts w:hint="eastAsia"/>
                <w:b/>
                <w:color w:val="auto"/>
              </w:rPr>
              <w:t>1</w:t>
            </w:r>
          </w:p>
        </w:tc>
        <w:tc>
          <w:tcPr>
            <w:tcW w:w="690" w:type="dxa"/>
            <w:vMerge w:val="restart"/>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noWrap w:val="0"/>
            <w:vAlign w:val="top"/>
          </w:tcPr>
          <w:p>
            <w:pPr>
              <w:jc w:val="center"/>
              <w:rPr>
                <w:rFonts w:hint="eastAsia" w:hAnsi="宋体" w:cs="宋体"/>
                <w:color w:val="auto"/>
                <w:sz w:val="21"/>
                <w:szCs w:val="21"/>
              </w:rPr>
            </w:pPr>
            <w:r>
              <w:rPr>
                <w:rFonts w:hint="eastAsia" w:hAnsi="宋体" w:cs="宋体"/>
                <w:color w:val="auto"/>
                <w:sz w:val="21"/>
                <w:szCs w:val="21"/>
              </w:rPr>
              <w:t>第六十六条</w:t>
            </w:r>
          </w:p>
        </w:tc>
        <w:tc>
          <w:tcPr>
            <w:tcW w:w="1747" w:type="dxa"/>
            <w:vMerge w:val="restart"/>
            <w:noWrap w:val="0"/>
            <w:vAlign w:val="top"/>
          </w:tcPr>
          <w:p>
            <w:pPr>
              <w:rPr>
                <w:rFonts w:hint="eastAsia"/>
                <w:color w:val="auto"/>
                <w:sz w:val="21"/>
                <w:szCs w:val="21"/>
              </w:rPr>
            </w:pPr>
            <w:r>
              <w:rPr>
                <w:rFonts w:hint="eastAsia"/>
                <w:color w:val="auto"/>
                <w:sz w:val="21"/>
                <w:szCs w:val="21"/>
              </w:rPr>
              <w:t>有下列行为之一，尚不构成犯罪的，由县级以上人民政府文物主管部门责令改正，造成严重后果的，处五万元以上五十万元以下的罚款；情节严重的，由原发证机关吊销资质证书。</w:t>
            </w:r>
          </w:p>
        </w:tc>
        <w:tc>
          <w:tcPr>
            <w:tcW w:w="1742" w:type="dxa"/>
            <w:vMerge w:val="restart"/>
            <w:noWrap w:val="0"/>
            <w:vAlign w:val="top"/>
          </w:tcPr>
          <w:p>
            <w:pPr>
              <w:rPr>
                <w:rFonts w:hint="eastAsia"/>
                <w:color w:val="auto"/>
                <w:sz w:val="21"/>
                <w:szCs w:val="21"/>
              </w:rPr>
            </w:pPr>
            <w:r>
              <w:rPr>
                <w:rFonts w:hint="eastAsia"/>
                <w:color w:val="auto"/>
                <w:sz w:val="21"/>
                <w:szCs w:val="21"/>
              </w:rPr>
              <w:t>（一）擅自在文物保护单位的保护范围内进行建设工程或者爆破、钻探、挖掘等作业的；</w:t>
            </w: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市县（区）级文物保护单位的保护范围内</w:t>
            </w:r>
          </w:p>
        </w:tc>
        <w:tc>
          <w:tcPr>
            <w:tcW w:w="3214" w:type="dxa"/>
            <w:noWrap w:val="0"/>
            <w:vAlign w:val="top"/>
          </w:tcPr>
          <w:p>
            <w:pPr>
              <w:rPr>
                <w:rFonts w:hint="eastAsia"/>
                <w:color w:val="auto"/>
                <w:sz w:val="21"/>
                <w:szCs w:val="21"/>
              </w:rPr>
            </w:pPr>
            <w:r>
              <w:rPr>
                <w:rFonts w:hint="eastAsia"/>
                <w:color w:val="auto"/>
                <w:sz w:val="21"/>
                <w:szCs w:val="21"/>
              </w:rPr>
              <w:t>造成保护范围内环境风貌轻微破坏及改变，经整改尚可补救，以消除严重后果的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造成保护范围内环境风貌破坏及改变，一定程度上严重后果难以消除的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省级文物保护单位的保护范围内</w:t>
            </w:r>
          </w:p>
        </w:tc>
        <w:tc>
          <w:tcPr>
            <w:tcW w:w="3214" w:type="dxa"/>
            <w:noWrap w:val="0"/>
            <w:vAlign w:val="top"/>
          </w:tcPr>
          <w:p>
            <w:pPr>
              <w:rPr>
                <w:rFonts w:hint="eastAsia"/>
                <w:color w:val="auto"/>
                <w:sz w:val="21"/>
                <w:szCs w:val="21"/>
              </w:rPr>
            </w:pPr>
            <w:r>
              <w:rPr>
                <w:rFonts w:hint="eastAsia"/>
                <w:color w:val="auto"/>
                <w:sz w:val="21"/>
                <w:szCs w:val="21"/>
              </w:rPr>
              <w:t>造成保护范围内环境风貌轻微破坏及改变，经整改尚可补救，以消除严重后果的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造成保护范围内环境风貌破坏及改变，一定程度上严重后果难以消除的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全国重点文物保护单位的保护范围内</w:t>
            </w:r>
          </w:p>
        </w:tc>
        <w:tc>
          <w:tcPr>
            <w:tcW w:w="3214" w:type="dxa"/>
            <w:noWrap w:val="0"/>
            <w:vAlign w:val="top"/>
          </w:tcPr>
          <w:p>
            <w:pPr>
              <w:rPr>
                <w:rFonts w:hint="eastAsia"/>
                <w:color w:val="auto"/>
                <w:sz w:val="21"/>
                <w:szCs w:val="21"/>
              </w:rPr>
            </w:pPr>
            <w:r>
              <w:rPr>
                <w:rFonts w:hint="eastAsia"/>
                <w:color w:val="auto"/>
                <w:sz w:val="21"/>
                <w:szCs w:val="21"/>
              </w:rPr>
              <w:t>造成保护范围内环境风貌轻微破坏及改变，经整改尚可补救，以消除严重后果的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造成保护范围内环境风貌破坏及改变，一定程度上严重后果难以消除的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尚不构成犯罪的，由县级以上人民政府文物主管部门责令改正，处三十五万至五十万元罚款并由原发证机关吊销资质证书。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（二）在文物保护单位的建设控制地带内进行建设工程，其工程设计方案未经文物行政部门同意、报城乡建设规划部门批准，对文物保护单位的历史风貌造成破坏的；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市县（区）级文物保护单位的建设控制地带内</w:t>
            </w:r>
          </w:p>
        </w:tc>
        <w:tc>
          <w:tcPr>
            <w:tcW w:w="3214" w:type="dxa"/>
            <w:noWrap w:val="0"/>
            <w:vAlign w:val="top"/>
          </w:tcPr>
          <w:p>
            <w:pPr>
              <w:rPr>
                <w:rFonts w:hint="eastAsia"/>
                <w:color w:val="auto"/>
                <w:sz w:val="21"/>
                <w:szCs w:val="21"/>
              </w:rPr>
            </w:pPr>
            <w:r>
              <w:rPr>
                <w:rFonts w:hint="eastAsia"/>
                <w:color w:val="auto"/>
                <w:sz w:val="21"/>
                <w:szCs w:val="21"/>
              </w:rPr>
              <w:t>造成建设控制地带内历史风貌轻微破坏及改变，经整改尚可补救，以消除严重后果的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造成建设控制地带内历史风貌破坏及改变，一定程度上严重后果难以消除的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省级文物保护单位的建设控制地带内</w:t>
            </w:r>
          </w:p>
        </w:tc>
        <w:tc>
          <w:tcPr>
            <w:tcW w:w="3214" w:type="dxa"/>
            <w:noWrap w:val="0"/>
            <w:vAlign w:val="top"/>
          </w:tcPr>
          <w:p>
            <w:pPr>
              <w:rPr>
                <w:rFonts w:hint="eastAsia"/>
                <w:color w:val="auto"/>
                <w:sz w:val="21"/>
                <w:szCs w:val="21"/>
              </w:rPr>
            </w:pPr>
            <w:r>
              <w:rPr>
                <w:rFonts w:hint="eastAsia"/>
                <w:color w:val="auto"/>
                <w:sz w:val="21"/>
                <w:szCs w:val="21"/>
              </w:rPr>
              <w:t>造成建设控制地带内历史风貌轻微破坏及改变，经整改尚可补救，以消除严重后果的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造成建设控制地带内历史风貌破坏及改变，一定程度上严重后果难以消除的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全国重点文物保护单位的建设控制地带内</w:t>
            </w:r>
          </w:p>
        </w:tc>
        <w:tc>
          <w:tcPr>
            <w:tcW w:w="3214" w:type="dxa"/>
            <w:noWrap w:val="0"/>
            <w:vAlign w:val="top"/>
          </w:tcPr>
          <w:p>
            <w:pPr>
              <w:rPr>
                <w:rFonts w:hint="eastAsia"/>
                <w:color w:val="auto"/>
                <w:sz w:val="21"/>
                <w:szCs w:val="21"/>
              </w:rPr>
            </w:pPr>
            <w:r>
              <w:rPr>
                <w:rFonts w:hint="eastAsia"/>
                <w:color w:val="auto"/>
                <w:sz w:val="21"/>
                <w:szCs w:val="21"/>
              </w:rPr>
              <w:t>造成建设控制地带内历史风貌轻微破坏及改变，经整改尚可补救，以消除严重后果的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尚不构成犯罪的，由县级以上人民政府文物主管部门责令改正，并处二十万至三十五万元罚款。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造成建设控制地带内历史风貌破坏及改变，一定程度上严重后果难以消除的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（三）</w:t>
            </w:r>
            <w:r>
              <w:rPr>
                <w:color w:val="auto"/>
                <w:sz w:val="21"/>
                <w:szCs w:val="21"/>
              </w:rPr>
              <w:t>擅自迁移、拆除不可移动文物的</w:t>
            </w:r>
            <w:r>
              <w:rPr>
                <w:rFonts w:hint="eastAsia"/>
                <w:color w:val="auto"/>
                <w:sz w:val="21"/>
                <w:szCs w:val="21"/>
              </w:rPr>
              <w:t>；</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tcBorders>
              <w:top w:val="nil"/>
            </w:tcBorders>
            <w:noWrap w:val="0"/>
            <w:vAlign w:val="center"/>
          </w:tcPr>
          <w:p>
            <w:pP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tcBorders>
              <w:top w:val="nil"/>
            </w:tcBorders>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tcBorders>
              <w:top w:val="nil"/>
              <w:bottom w:val="nil"/>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未造成特别严重后果，经整改，尚可补救的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w:t>
            </w:r>
          </w:p>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尚不构成犯罪的，由县级以上人民政府文物主管部门责令改正，处三十五万至五十万元罚款并由原发证机关吊销资质证书。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（四）</w:t>
            </w:r>
            <w:r>
              <w:rPr>
                <w:color w:val="auto"/>
                <w:sz w:val="21"/>
                <w:szCs w:val="21"/>
              </w:rPr>
              <w:t>擅自修缮不可移动文物</w:t>
            </w:r>
            <w:r>
              <w:rPr>
                <w:rFonts w:hint="eastAsia"/>
                <w:color w:val="auto"/>
                <w:sz w:val="21"/>
                <w:szCs w:val="21"/>
              </w:rPr>
              <w:t>，明显改变文物原状的；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p>
          <w:p>
            <w:pPr>
              <w:jc w:val="center"/>
              <w:rPr>
                <w:rFonts w:hint="eastAsia"/>
                <w:color w:val="auto"/>
                <w:sz w:val="21"/>
                <w:szCs w:val="21"/>
              </w:rPr>
            </w:pPr>
            <w:r>
              <w:rPr>
                <w:rFonts w:hint="eastAsia"/>
                <w:color w:val="auto"/>
                <w:sz w:val="21"/>
                <w:szCs w:val="21"/>
              </w:rPr>
              <w:t>一般</w:t>
            </w:r>
          </w:p>
          <w:p>
            <w:pPr>
              <w:jc w:val="center"/>
              <w:rPr>
                <w:color w:val="auto"/>
                <w:sz w:val="21"/>
                <w:szCs w:val="21"/>
              </w:rPr>
            </w:pP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tcBorders>
              <w:top w:val="nil"/>
              <w:bottom w:val="nil"/>
            </w:tcBorders>
            <w:noWrap w:val="0"/>
            <w:vAlign w:val="center"/>
          </w:tcPr>
          <w:p>
            <w:pPr>
              <w:jc w:val="center"/>
              <w:rPr>
                <w:rFonts w:hint="eastAsia"/>
                <w:color w:val="auto"/>
                <w:sz w:val="21"/>
                <w:szCs w:val="21"/>
              </w:rPr>
            </w:pPr>
          </w:p>
          <w:p>
            <w:pPr>
              <w:jc w:val="center"/>
              <w:rPr>
                <w:rFonts w:hint="eastAsia"/>
                <w:color w:val="auto"/>
                <w:sz w:val="21"/>
                <w:szCs w:val="21"/>
              </w:rPr>
            </w:pPr>
            <w:r>
              <w:rPr>
                <w:rFonts w:hint="eastAsia"/>
                <w:color w:val="auto"/>
                <w:sz w:val="21"/>
                <w:szCs w:val="21"/>
              </w:rPr>
              <w:t>严重</w:t>
            </w:r>
          </w:p>
          <w:p>
            <w:pPr>
              <w:jc w:val="center"/>
              <w:rPr>
                <w:rFonts w:hint="eastAsia"/>
                <w:color w:val="auto"/>
                <w:sz w:val="21"/>
                <w:szCs w:val="21"/>
              </w:rPr>
            </w:pP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w:t>
            </w:r>
            <w:r>
              <w:rPr>
                <w:rFonts w:hint="eastAsia"/>
                <w:color w:val="auto"/>
                <w:sz w:val="21"/>
                <w:szCs w:val="21"/>
              </w:rPr>
              <w:t>保护单位</w:t>
            </w:r>
          </w:p>
        </w:tc>
        <w:tc>
          <w:tcPr>
            <w:tcW w:w="3214" w:type="dxa"/>
            <w:tcBorders>
              <w:top w:val="nil"/>
              <w:bottom w:val="nil"/>
            </w:tcBorders>
            <w:noWrap w:val="0"/>
            <w:vAlign w:val="top"/>
          </w:tcPr>
          <w:p>
            <w:pPr>
              <w:rPr>
                <w:rFonts w:hint="eastAsia"/>
                <w:color w:val="auto"/>
                <w:sz w:val="21"/>
                <w:szCs w:val="21"/>
              </w:rPr>
            </w:pPr>
            <w:r>
              <w:rPr>
                <w:rFonts w:hint="eastAsia"/>
                <w:color w:val="auto"/>
                <w:sz w:val="21"/>
                <w:szCs w:val="21"/>
              </w:rPr>
              <w:t>未造成特别严重后果，经整改，尚可补救的</w:t>
            </w:r>
          </w:p>
        </w:tc>
        <w:tc>
          <w:tcPr>
            <w:tcW w:w="3925" w:type="dxa"/>
            <w:tcBorders>
              <w:top w:val="nil"/>
              <w:bottom w:val="nil"/>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尚不构成犯罪的，由县级以上人民政府文物主管部门责令改正，处二十五万至四十万元罚款并由原发证机关吊销资质证书。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w:t>
            </w:r>
          </w:p>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尚不构成犯罪的，由县级以上人民政府文物主管部门责令改正，处三十五万至五十万元罚款并由原发证机关吊销资质证书。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（五）</w:t>
            </w:r>
            <w:r>
              <w:rPr>
                <w:color w:val="auto"/>
                <w:sz w:val="21"/>
                <w:szCs w:val="21"/>
              </w:rPr>
              <w:t>擅自在原址重建已全部毁坏的不可移动文物</w:t>
            </w:r>
            <w:r>
              <w:rPr>
                <w:rFonts w:hint="eastAsia"/>
                <w:color w:val="auto"/>
                <w:sz w:val="21"/>
                <w:szCs w:val="21"/>
              </w:rPr>
              <w:t>，造成文物破坏的；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tcBorders>
              <w:bottom w:val="single" w:color="auto" w:sz="4" w:space="0"/>
            </w:tcBorders>
            <w:noWrap w:val="0"/>
            <w:vAlign w:val="center"/>
          </w:tcPr>
          <w:p>
            <w:pPr>
              <w:rPr>
                <w:rFonts w:hint="eastAsia"/>
                <w:color w:val="auto"/>
                <w:sz w:val="21"/>
                <w:szCs w:val="21"/>
              </w:rPr>
            </w:pPr>
            <w:r>
              <w:rPr>
                <w:rFonts w:hint="eastAsia"/>
                <w:color w:val="auto"/>
                <w:sz w:val="21"/>
                <w:szCs w:val="21"/>
              </w:rPr>
              <w:t>一般</w:t>
            </w:r>
          </w:p>
        </w:tc>
        <w:tc>
          <w:tcPr>
            <w:tcW w:w="1434" w:type="dxa"/>
            <w:vMerge w:val="restart"/>
            <w:tcBorders>
              <w:bottom w:val="nil"/>
            </w:tcBorders>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tcBorders>
              <w:bottom w:val="nil"/>
            </w:tcBorders>
            <w:noWrap w:val="0"/>
            <w:vAlign w:val="center"/>
          </w:tcPr>
          <w:p>
            <w:pPr>
              <w:rPr>
                <w:rFonts w:hint="eastAsia"/>
                <w:color w:val="auto"/>
                <w:sz w:val="21"/>
                <w:szCs w:val="21"/>
              </w:rPr>
            </w:pPr>
            <w:r>
              <w:rPr>
                <w:rFonts w:hint="eastAsia"/>
                <w:color w:val="auto"/>
                <w:sz w:val="21"/>
                <w:szCs w:val="21"/>
              </w:rPr>
              <w:t>严重</w:t>
            </w:r>
          </w:p>
        </w:tc>
        <w:tc>
          <w:tcPr>
            <w:tcW w:w="1434" w:type="dxa"/>
            <w:vMerge w:val="continue"/>
            <w:tcBorders>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尚不构成犯罪的，由县级以上人民政府文物主管部门责令改正，处四十万至五十万元罚款并由原发证机关吊销资质证书。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（六）施工单位未取得文物保护工程资质证书，擅自从事文物修缮、迁移、重建的；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文物原状受到破坏后，严重后果难以消除的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市、县（区）级文物保护单位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省级文物保护单位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noWrap w:val="0"/>
            <w:vAlign w:val="top"/>
          </w:tcPr>
          <w:p>
            <w:pPr>
              <w:rPr>
                <w:rFonts w:hint="eastAsia"/>
                <w:color w:val="auto"/>
                <w:sz w:val="21"/>
                <w:szCs w:val="21"/>
              </w:rPr>
            </w:pPr>
            <w:r>
              <w:rPr>
                <w:rFonts w:hint="eastAsia"/>
                <w:color w:val="auto"/>
                <w:sz w:val="21"/>
                <w:szCs w:val="21"/>
              </w:rPr>
              <w:t>未造成特别严重后果，经整改，尚可补救的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尚不构成犯罪的，由县级以上人民政府文物主管部门责令改正，处四十万至五十万元罚款。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39" w:type="dxa"/>
            <w:vMerge w:val="restart"/>
            <w:tcBorders>
              <w:left w:val="single" w:color="auto" w:sz="4" w:space="0"/>
            </w:tcBorders>
            <w:noWrap w:val="0"/>
            <w:vAlign w:val="top"/>
          </w:tcPr>
          <w:p>
            <w:pPr>
              <w:jc w:val="center"/>
              <w:rPr>
                <w:rFonts w:hint="eastAsia"/>
                <w:b/>
                <w:color w:val="auto"/>
              </w:rPr>
            </w:pPr>
            <w:r>
              <w:rPr>
                <w:rFonts w:hint="eastAsia"/>
                <w:b/>
                <w:color w:val="auto"/>
              </w:rPr>
              <w:t>2</w:t>
            </w:r>
          </w:p>
        </w:tc>
        <w:tc>
          <w:tcPr>
            <w:tcW w:w="690" w:type="dxa"/>
            <w:vMerge w:val="restart"/>
            <w:tcBorders>
              <w:top w:val="nil"/>
            </w:tcBorders>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tcBorders>
              <w:top w:val="nil"/>
            </w:tcBorders>
            <w:noWrap w:val="0"/>
            <w:vAlign w:val="top"/>
          </w:tcPr>
          <w:p>
            <w:pPr>
              <w:rPr>
                <w:rFonts w:hint="eastAsia"/>
                <w:color w:val="auto"/>
                <w:sz w:val="21"/>
                <w:szCs w:val="21"/>
              </w:rPr>
            </w:pPr>
            <w:r>
              <w:rPr>
                <w:rFonts w:hint="eastAsia"/>
                <w:color w:val="auto"/>
                <w:sz w:val="21"/>
                <w:szCs w:val="21"/>
              </w:rPr>
              <w:t>第六十八条</w:t>
            </w:r>
          </w:p>
        </w:tc>
        <w:tc>
          <w:tcPr>
            <w:tcW w:w="1747" w:type="dxa"/>
            <w:vMerge w:val="restart"/>
            <w:tcBorders>
              <w:top w:val="nil"/>
              <w:bottom w:val="nil"/>
            </w:tcBorders>
            <w:noWrap w:val="0"/>
            <w:vAlign w:val="top"/>
          </w:tcPr>
          <w:p>
            <w:pPr>
              <w:rPr>
                <w:rFonts w:hint="eastAsia"/>
                <w:color w:val="auto"/>
                <w:sz w:val="21"/>
                <w:szCs w:val="21"/>
              </w:rPr>
            </w:pPr>
            <w:r>
              <w:rPr>
                <w:rFonts w:hint="eastAsia"/>
                <w:color w:val="auto"/>
                <w:sz w:val="21"/>
                <w:szCs w:val="21"/>
              </w:rPr>
              <w:t>有下列行为之一的，由县级以上人民政府文物主管部门责令改正，没收违法所得，违法所得一万元以上的，并处违法所得二倍以上五倍以下的罚款；违法所得不足一万元的，并处五千元以上二万元以下的罚款</w:t>
            </w:r>
          </w:p>
        </w:tc>
        <w:tc>
          <w:tcPr>
            <w:tcW w:w="1742" w:type="dxa"/>
            <w:vMerge w:val="restart"/>
            <w:tcBorders>
              <w:top w:val="nil"/>
              <w:bottom w:val="nil"/>
            </w:tcBorders>
            <w:noWrap w:val="0"/>
            <w:vAlign w:val="top"/>
          </w:tcPr>
          <w:p>
            <w:pPr>
              <w:rPr>
                <w:rFonts w:hint="eastAsia"/>
                <w:color w:val="auto"/>
                <w:sz w:val="21"/>
                <w:szCs w:val="21"/>
              </w:rPr>
            </w:pPr>
            <w:r>
              <w:rPr>
                <w:rFonts w:hint="eastAsia"/>
                <w:color w:val="auto"/>
                <w:sz w:val="21"/>
                <w:szCs w:val="21"/>
              </w:rPr>
              <w:t>（一）转让或者抵押国有不可移动文物，或者将国有不可移动文物作为企业资产经营的；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39" w:type="dxa"/>
            <w:vMerge w:val="continue"/>
            <w:tcBorders>
              <w:left w:val="single" w:color="auto" w:sz="4" w:space="0"/>
            </w:tcBorders>
            <w:noWrap w:val="0"/>
            <w:vAlign w:val="top"/>
          </w:tcPr>
          <w:p>
            <w:pPr>
              <w:jc w:val="cente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由县级以上人民政府文物主管部门责令改正，没收违法所得，并处违法所得二倍至三倍罚款。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39" w:type="dxa"/>
            <w:vMerge w:val="continue"/>
            <w:tcBorders>
              <w:left w:val="single" w:color="auto" w:sz="4" w:space="0"/>
              <w:bottom w:val="single" w:color="auto" w:sz="4" w:space="0"/>
            </w:tcBorders>
            <w:noWrap w:val="0"/>
            <w:vAlign w:val="top"/>
          </w:tcPr>
          <w:p>
            <w:pPr>
              <w:rPr>
                <w:rFonts w:hint="eastAsia"/>
                <w:color w:val="666699"/>
                <w:sz w:val="21"/>
                <w:szCs w:val="21"/>
              </w:rPr>
            </w:pPr>
          </w:p>
        </w:tc>
        <w:tc>
          <w:tcPr>
            <w:tcW w:w="690" w:type="dxa"/>
            <w:vMerge w:val="continue"/>
            <w:tcBorders>
              <w:top w:val="nil"/>
              <w:bottom w:val="single" w:color="auto" w:sz="4" w:space="0"/>
            </w:tcBorders>
            <w:noWrap w:val="0"/>
            <w:vAlign w:val="top"/>
          </w:tcPr>
          <w:p>
            <w:pPr>
              <w:rPr>
                <w:rFonts w:hint="eastAsia"/>
                <w:color w:val="666699"/>
                <w:sz w:val="21"/>
                <w:szCs w:val="21"/>
              </w:rPr>
            </w:pPr>
          </w:p>
        </w:tc>
        <w:tc>
          <w:tcPr>
            <w:tcW w:w="500" w:type="dxa"/>
            <w:vMerge w:val="continue"/>
            <w:tcBorders>
              <w:top w:val="nil"/>
              <w:bottom w:val="single" w:color="auto" w:sz="4" w:space="0"/>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tcBorders>
              <w:bottom w:val="single" w:color="auto" w:sz="4" w:space="0"/>
            </w:tcBorders>
            <w:noWrap w:val="0"/>
            <w:vAlign w:val="center"/>
          </w:tcPr>
          <w:p>
            <w:pPr>
              <w:rPr>
                <w:rFonts w:hint="eastAsia"/>
                <w:color w:val="auto"/>
                <w:sz w:val="21"/>
                <w:szCs w:val="21"/>
              </w:rPr>
            </w:pPr>
            <w:r>
              <w:rPr>
                <w:rFonts w:hint="eastAsia"/>
                <w:color w:val="auto"/>
                <w:sz w:val="21"/>
                <w:szCs w:val="21"/>
              </w:rPr>
              <w:t>一般</w:t>
            </w:r>
          </w:p>
        </w:tc>
        <w:tc>
          <w:tcPr>
            <w:tcW w:w="1434" w:type="dxa"/>
            <w:vMerge w:val="restart"/>
            <w:tcBorders>
              <w:bottom w:val="single" w:color="auto" w:sz="4" w:space="0"/>
            </w:tcBorders>
            <w:noWrap w:val="0"/>
            <w:vAlign w:val="center"/>
          </w:tcPr>
          <w:p>
            <w:pPr>
              <w:jc w:val="center"/>
              <w:rPr>
                <w:rFonts w:hint="eastAsia"/>
                <w:color w:val="auto"/>
                <w:sz w:val="21"/>
                <w:szCs w:val="21"/>
              </w:rPr>
            </w:pPr>
            <w:r>
              <w:rPr>
                <w:rFonts w:hint="eastAsia"/>
                <w:color w:val="auto"/>
                <w:sz w:val="21"/>
                <w:szCs w:val="21"/>
              </w:rPr>
              <w:t>省级文物保护单位</w:t>
            </w:r>
          </w:p>
        </w:tc>
        <w:tc>
          <w:tcPr>
            <w:tcW w:w="3214" w:type="dxa"/>
            <w:tcBorders>
              <w:bottom w:val="single" w:color="auto" w:sz="4" w:space="0"/>
            </w:tcBorders>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tcBorders>
              <w:bottom w:val="single" w:color="auto" w:sz="4" w:space="0"/>
            </w:tcBorders>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由县级以上人民政府文物主管部门责令改正，没收违法所得，并处一万至一万五千元罚款。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由县级以上人民政府文物主管部门责令改正，没收违法所得，并处违法所得三倍至四倍罚款。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由县级以上人民政府文物主管部门责令改正，没收违法所得，并处一万五千至二万元罚款。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tcBorders>
              <w:top w:val="nil"/>
              <w:bottom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bottom w:val="single" w:color="auto" w:sz="4" w:space="0"/>
            </w:tcBorders>
            <w:noWrap w:val="0"/>
            <w:vAlign w:val="top"/>
          </w:tcPr>
          <w:p>
            <w:pPr>
              <w:rPr>
                <w:rFonts w:hint="eastAsia"/>
                <w:color w:val="666699"/>
                <w:sz w:val="21"/>
                <w:szCs w:val="21"/>
              </w:rPr>
            </w:pPr>
          </w:p>
        </w:tc>
        <w:tc>
          <w:tcPr>
            <w:tcW w:w="3214" w:type="dxa"/>
            <w:tcBorders>
              <w:bottom w:val="single" w:color="auto" w:sz="4" w:space="0"/>
            </w:tcBorders>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tcBorders>
              <w:bottom w:val="single" w:color="auto" w:sz="4" w:space="0"/>
            </w:tcBorders>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由县级以上人民政府文物主管部门责令改正，没收违法所得，并处违法所得四至五倍罚款。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restart"/>
            <w:tcBorders>
              <w:bottom w:val="nil"/>
            </w:tcBorders>
            <w:noWrap w:val="0"/>
            <w:vAlign w:val="top"/>
          </w:tcPr>
          <w:p>
            <w:pPr>
              <w:rPr>
                <w:rFonts w:hint="eastAsia"/>
                <w:color w:val="auto"/>
                <w:sz w:val="21"/>
                <w:szCs w:val="21"/>
              </w:rPr>
            </w:pPr>
            <w:r>
              <w:rPr>
                <w:rFonts w:hint="eastAsia"/>
                <w:color w:val="auto"/>
                <w:sz w:val="21"/>
                <w:szCs w:val="21"/>
              </w:rPr>
              <w:t>（二）</w:t>
            </w:r>
            <w:r>
              <w:rPr>
                <w:color w:val="auto"/>
                <w:sz w:val="21"/>
                <w:szCs w:val="21"/>
              </w:rPr>
              <w:t>将非国有不可移动文物转让或者抵押给外国人的</w:t>
            </w:r>
            <w:r>
              <w:rPr>
                <w:rFonts w:hint="eastAsia"/>
                <w:color w:val="auto"/>
                <w:sz w:val="21"/>
                <w:szCs w:val="21"/>
              </w:rPr>
              <w:t>；</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w:t>
            </w:r>
            <w:r>
              <w:rPr>
                <w:color w:val="auto"/>
                <w:sz w:val="21"/>
                <w:szCs w:val="21"/>
              </w:rPr>
              <w:t>的</w:t>
            </w:r>
            <w:r>
              <w:rPr>
                <w:rFonts w:hint="eastAsia"/>
                <w:color w:val="auto"/>
                <w:sz w:val="21"/>
                <w:szCs w:val="21"/>
              </w:rPr>
              <w:t>不可移动文物</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center"/>
          </w:tcPr>
          <w:p>
            <w:pPr>
              <w:jc w:val="cente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由县级以上人民政府文物主管部门责令改正，没收违法所得，并处违法所得二至三倍罚款。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由县级以上人民政府文物主管部门责令改正，没收违法所得，并处一万至一万五千元罚款。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39" w:type="dxa"/>
            <w:vMerge w:val="continue"/>
            <w:tcBorders>
              <w:left w:val="single" w:color="auto" w:sz="4" w:space="0"/>
              <w:bottom w:val="single" w:color="auto" w:sz="4" w:space="0"/>
            </w:tcBorders>
            <w:noWrap w:val="0"/>
            <w:vAlign w:val="top"/>
          </w:tcPr>
          <w:p>
            <w:pPr>
              <w:rPr>
                <w:rFonts w:hint="eastAsia"/>
                <w:color w:val="666699"/>
                <w:sz w:val="21"/>
                <w:szCs w:val="21"/>
              </w:rPr>
            </w:pPr>
          </w:p>
        </w:tc>
        <w:tc>
          <w:tcPr>
            <w:tcW w:w="690" w:type="dxa"/>
            <w:vMerge w:val="continue"/>
            <w:tcBorders>
              <w:top w:val="nil"/>
              <w:bottom w:val="single" w:color="auto" w:sz="4" w:space="0"/>
            </w:tcBorders>
            <w:noWrap w:val="0"/>
            <w:vAlign w:val="top"/>
          </w:tcPr>
          <w:p>
            <w:pPr>
              <w:rPr>
                <w:rFonts w:hint="eastAsia"/>
                <w:color w:val="666699"/>
                <w:sz w:val="21"/>
                <w:szCs w:val="21"/>
              </w:rPr>
            </w:pPr>
          </w:p>
        </w:tc>
        <w:tc>
          <w:tcPr>
            <w:tcW w:w="500" w:type="dxa"/>
            <w:vMerge w:val="continue"/>
            <w:tcBorders>
              <w:top w:val="nil"/>
              <w:bottom w:val="single" w:color="auto" w:sz="4" w:space="0"/>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tcBorders>
              <w:bottom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bottom w:val="single" w:color="auto" w:sz="4" w:space="0"/>
            </w:tcBorders>
            <w:noWrap w:val="0"/>
            <w:vAlign w:val="center"/>
          </w:tcPr>
          <w:p>
            <w:pPr>
              <w:jc w:val="center"/>
              <w:rPr>
                <w:color w:val="auto"/>
                <w:sz w:val="21"/>
                <w:szCs w:val="21"/>
              </w:rPr>
            </w:pPr>
          </w:p>
        </w:tc>
        <w:tc>
          <w:tcPr>
            <w:tcW w:w="3214" w:type="dxa"/>
            <w:tcBorders>
              <w:bottom w:val="single" w:color="auto" w:sz="4" w:space="0"/>
            </w:tcBorders>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tcBorders>
              <w:bottom w:val="single" w:color="auto" w:sz="4" w:space="0"/>
            </w:tcBorders>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由县级以上人民政府文物主管部门责令改正，没收违法所得，并处违法所得三至四倍罚款。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由县级以上人民政府文物主管部门责令改正，没收违法所得，并处一万五千至二万元罚款。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由县级以上人民政府文物主管部门责令改正，没收违法所得，并处违法所得四倍至五倍罚款。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restart"/>
            <w:tcBorders>
              <w:bottom w:val="nil"/>
            </w:tcBorders>
            <w:noWrap w:val="0"/>
            <w:vAlign w:val="top"/>
          </w:tcPr>
          <w:p>
            <w:pPr>
              <w:rPr>
                <w:rFonts w:hint="eastAsia"/>
                <w:color w:val="auto"/>
                <w:sz w:val="21"/>
                <w:szCs w:val="21"/>
              </w:rPr>
            </w:pPr>
            <w:r>
              <w:rPr>
                <w:rFonts w:hint="eastAsia"/>
                <w:color w:val="auto"/>
                <w:sz w:val="21"/>
                <w:szCs w:val="21"/>
              </w:rPr>
              <w:t>（三）</w:t>
            </w:r>
            <w:r>
              <w:rPr>
                <w:color w:val="auto"/>
                <w:sz w:val="21"/>
                <w:szCs w:val="21"/>
              </w:rPr>
              <w:t>擅自改变国有文物保护单位用途的</w:t>
            </w:r>
            <w:r>
              <w:rPr>
                <w:rFonts w:hint="eastAsia"/>
                <w:color w:val="auto"/>
                <w:sz w:val="21"/>
                <w:szCs w:val="21"/>
              </w:rPr>
              <w:t>；</w:t>
            </w: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color w:val="auto"/>
                <w:sz w:val="21"/>
                <w:szCs w:val="21"/>
              </w:rPr>
            </w:pPr>
            <w:r>
              <w:rPr>
                <w:rFonts w:hint="eastAsia"/>
                <w:color w:val="auto"/>
                <w:sz w:val="21"/>
                <w:szCs w:val="21"/>
              </w:rPr>
              <w:t>严重</w:t>
            </w:r>
          </w:p>
        </w:tc>
        <w:tc>
          <w:tcPr>
            <w:tcW w:w="1434" w:type="dxa"/>
            <w:vMerge w:val="continue"/>
            <w:noWrap w:val="0"/>
            <w:vAlign w:val="top"/>
          </w:tcPr>
          <w:p>
            <w:pP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由县级以上人民政府文物主管部门责令改正，没收违法所得，并处违法所得二至三倍罚款。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由县级以上人民政府文物主管部门责令改正，没收违法所得，并处一万至一万五千元罚款。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auto"/>
                <w:sz w:val="21"/>
                <w:szCs w:val="21"/>
              </w:rPr>
            </w:pP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tcBorders>
            <w:noWrap w:val="0"/>
            <w:vAlign w:val="center"/>
          </w:tcPr>
          <w:p>
            <w:pPr>
              <w:jc w:val="center"/>
              <w:rPr>
                <w:color w:val="auto"/>
                <w:sz w:val="21"/>
                <w:szCs w:val="21"/>
              </w:rPr>
            </w:pPr>
          </w:p>
        </w:tc>
        <w:tc>
          <w:tcPr>
            <w:tcW w:w="3214" w:type="dxa"/>
            <w:tcBorders>
              <w:top w:val="nil"/>
            </w:tcBorders>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tcBorders>
              <w:top w:val="nil"/>
            </w:tcBorders>
            <w:noWrap w:val="0"/>
            <w:vAlign w:val="top"/>
          </w:tcPr>
          <w:p>
            <w:pPr>
              <w:rPr>
                <w:rFonts w:hint="eastAsia"/>
                <w:color w:val="auto"/>
                <w:sz w:val="21"/>
                <w:szCs w:val="21"/>
              </w:rPr>
            </w:pPr>
            <w:r>
              <w:rPr>
                <w:rFonts w:hint="eastAsia"/>
                <w:color w:val="auto"/>
                <w:sz w:val="21"/>
                <w:szCs w:val="21"/>
              </w:rPr>
              <w:t>责令改正，没收违法所得，并处违法所得三至四倍罚款。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由县级以上人民政府文物主管部门责令改正，没收违法所得，并处一万五千至二万元罚款。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由县级以上人民政府文物主管部门责令改正，没收违法所得，并处违法所得四倍至五倍罚款。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9" w:type="dxa"/>
            <w:vMerge w:val="restart"/>
            <w:noWrap w:val="0"/>
            <w:vAlign w:val="top"/>
          </w:tcPr>
          <w:p>
            <w:pPr>
              <w:rPr>
                <w:rFonts w:hint="eastAsia"/>
                <w:b/>
                <w:color w:val="auto"/>
              </w:rPr>
            </w:pPr>
            <w:r>
              <w:rPr>
                <w:rFonts w:hint="eastAsia"/>
                <w:b/>
                <w:color w:val="auto"/>
              </w:rPr>
              <w:t>3</w:t>
            </w:r>
          </w:p>
        </w:tc>
        <w:tc>
          <w:tcPr>
            <w:tcW w:w="690" w:type="dxa"/>
            <w:vMerge w:val="restart"/>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noWrap w:val="0"/>
            <w:vAlign w:val="top"/>
          </w:tcPr>
          <w:p>
            <w:pPr>
              <w:rPr>
                <w:rFonts w:hint="eastAsia"/>
                <w:color w:val="auto"/>
                <w:sz w:val="21"/>
                <w:szCs w:val="21"/>
              </w:rPr>
            </w:pPr>
            <w:r>
              <w:rPr>
                <w:rFonts w:hint="eastAsia"/>
                <w:color w:val="auto"/>
                <w:sz w:val="21"/>
                <w:szCs w:val="21"/>
              </w:rPr>
              <w:t>第七十条</w:t>
            </w:r>
          </w:p>
        </w:tc>
        <w:tc>
          <w:tcPr>
            <w:tcW w:w="1747" w:type="dxa"/>
            <w:vMerge w:val="restart"/>
            <w:noWrap w:val="0"/>
            <w:vAlign w:val="top"/>
          </w:tcPr>
          <w:p>
            <w:pPr>
              <w:rPr>
                <w:rFonts w:hint="eastAsia" w:ascii="宋体" w:hAnsi="宋体"/>
                <w:color w:val="auto"/>
                <w:sz w:val="21"/>
                <w:szCs w:val="21"/>
              </w:rPr>
            </w:pPr>
            <w:r>
              <w:rPr>
                <w:rFonts w:hint="eastAsia"/>
                <w:color w:val="auto"/>
                <w:sz w:val="21"/>
                <w:szCs w:val="21"/>
              </w:rPr>
              <w:t>有下列行为之一，尚不构成犯罪的，</w:t>
            </w:r>
            <w:r>
              <w:rPr>
                <w:rFonts w:hint="eastAsia" w:ascii="宋体" w:hAnsi="宋体"/>
                <w:color w:val="auto"/>
                <w:sz w:val="21"/>
                <w:szCs w:val="21"/>
              </w:rPr>
              <w:t>由县级以上人民政府文物主管部门责令改正，可以并处二万元以下的罚款，有违法所得的，没收违法所得：</w:t>
            </w:r>
          </w:p>
        </w:tc>
        <w:tc>
          <w:tcPr>
            <w:tcW w:w="1742" w:type="dxa"/>
            <w:vMerge w:val="restart"/>
            <w:noWrap w:val="0"/>
            <w:vAlign w:val="top"/>
          </w:tcPr>
          <w:p>
            <w:pPr>
              <w:rPr>
                <w:rFonts w:hint="eastAsia"/>
                <w:color w:val="auto"/>
                <w:sz w:val="21"/>
                <w:szCs w:val="21"/>
              </w:rPr>
            </w:pPr>
            <w:r>
              <w:rPr>
                <w:rStyle w:val="7"/>
                <w:rFonts w:hint="eastAsia" w:ascii="宋体" w:hAnsi="宋体"/>
                <w:b w:val="0"/>
                <w:color w:val="auto"/>
                <w:sz w:val="21"/>
                <w:szCs w:val="21"/>
              </w:rPr>
              <w:t>（一）文物收藏单位未按照国家有关规定配备防火、防盗、防自然损坏设施的；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center"/>
          </w:tcPr>
          <w:p>
            <w:pP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在规定期限内改正，未造成损失的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9" w:type="dxa"/>
            <w:vMerge w:val="continue"/>
            <w:noWrap w:val="0"/>
            <w:vAlign w:val="top"/>
          </w:tcPr>
          <w:p>
            <w:pP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jc w:val="cente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逾期拒不改正，或造成损失的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539" w:type="dxa"/>
            <w:vMerge w:val="continue"/>
            <w:noWrap w:val="0"/>
            <w:vAlign w:val="top"/>
          </w:tcPr>
          <w:p>
            <w:pPr>
              <w:jc w:val="cente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color w:val="auto"/>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（二）</w:t>
            </w:r>
            <w:r>
              <w:rPr>
                <w:rStyle w:val="7"/>
                <w:rFonts w:hint="eastAsia" w:ascii="宋体" w:hAnsi="宋体"/>
                <w:b w:val="0"/>
                <w:color w:val="auto"/>
                <w:sz w:val="21"/>
                <w:szCs w:val="21"/>
              </w:rPr>
              <w:t>国有文物收藏单位法定代表人离任时未按照馆藏文物档案移交馆藏文物，或者所移交的馆藏文物与馆藏文物档案不符的；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在规定期限内改正，未造成损失的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39" w:type="dxa"/>
            <w:vMerge w:val="continue"/>
            <w:noWrap w:val="0"/>
            <w:vAlign w:val="top"/>
          </w:tcPr>
          <w:p>
            <w:pPr>
              <w:jc w:val="cente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color w:val="auto"/>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在规定期限内未改正的；或者造成损失的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并处二千至二万元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（三）</w:t>
            </w:r>
            <w:r>
              <w:rPr>
                <w:rStyle w:val="7"/>
                <w:rFonts w:hint="eastAsia" w:ascii="宋体" w:hAnsi="宋体"/>
                <w:b w:val="0"/>
                <w:color w:val="auto"/>
                <w:sz w:val="21"/>
                <w:szCs w:val="21"/>
              </w:rPr>
              <w:t>将国有馆藏文物赠与、出租或者出售给其他单位、个人的；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一般文物</w:t>
            </w:r>
          </w:p>
        </w:tc>
        <w:tc>
          <w:tcPr>
            <w:tcW w:w="3214" w:type="dxa"/>
            <w:noWrap w:val="0"/>
            <w:vAlign w:val="top"/>
          </w:tcPr>
          <w:p>
            <w:pPr>
              <w:rPr>
                <w:rFonts w:hint="eastAsia"/>
                <w:color w:val="auto"/>
                <w:sz w:val="21"/>
                <w:szCs w:val="21"/>
              </w:rPr>
            </w:pPr>
            <w:r>
              <w:rPr>
                <w:rFonts w:hint="eastAsia" w:ascii="宋体" w:hAnsi="宋体"/>
                <w:color w:val="auto"/>
                <w:sz w:val="21"/>
                <w:szCs w:val="21"/>
              </w:rPr>
              <w:t>出租的文物未造成损失的，或者赠与、出售的文物能够追回，未流失的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olor w:val="auto"/>
                <w:sz w:val="21"/>
                <w:szCs w:val="21"/>
              </w:rPr>
              <w:t>出租的文物造成损失的，或者赠与、出售的文物不能够追回，造成流失的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并处二千至一万元</w:t>
            </w:r>
          </w:p>
          <w:p>
            <w:pPr>
              <w:rPr>
                <w:rFonts w:hint="eastAsia" w:ascii="宋体" w:hAnsi="宋体"/>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bottom w:val="nil"/>
            </w:tcBorders>
            <w:noWrap w:val="0"/>
            <w:vAlign w:val="center"/>
          </w:tcPr>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color w:val="auto"/>
                <w:sz w:val="21"/>
                <w:szCs w:val="21"/>
              </w:rPr>
            </w:pPr>
            <w:r>
              <w:rPr>
                <w:rFonts w:hint="eastAsia" w:ascii="宋体" w:hAnsi="宋体"/>
                <w:color w:val="auto"/>
                <w:sz w:val="21"/>
                <w:szCs w:val="21"/>
              </w:rPr>
              <w:t>出租的文物未造成损失的，或者赠与、出售的文物能够追回，未流失的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并处五千至一万元</w:t>
            </w:r>
          </w:p>
          <w:p>
            <w:pPr>
              <w:rPr>
                <w:rFonts w:hint="eastAsia" w:ascii="宋体" w:hAnsi="宋体"/>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center"/>
          </w:tcPr>
          <w:p>
            <w:pPr>
              <w:jc w:val="center"/>
              <w:rPr>
                <w:rFonts w:hint="eastAsia"/>
                <w:color w:val="auto"/>
                <w:sz w:val="21"/>
                <w:szCs w:val="21"/>
              </w:rPr>
            </w:pPr>
          </w:p>
        </w:tc>
        <w:tc>
          <w:tcPr>
            <w:tcW w:w="3214" w:type="dxa"/>
            <w:tcBorders>
              <w:top w:val="nil"/>
            </w:tcBorders>
            <w:noWrap w:val="0"/>
            <w:vAlign w:val="top"/>
          </w:tcPr>
          <w:p>
            <w:pPr>
              <w:rPr>
                <w:rFonts w:hint="eastAsia"/>
                <w:color w:val="auto"/>
                <w:sz w:val="21"/>
                <w:szCs w:val="21"/>
              </w:rPr>
            </w:pPr>
            <w:r>
              <w:rPr>
                <w:rFonts w:hint="eastAsia" w:ascii="宋体" w:hAnsi="宋体"/>
                <w:color w:val="auto"/>
                <w:sz w:val="21"/>
                <w:szCs w:val="21"/>
              </w:rPr>
              <w:t>出租的文物造成损失的，或者赠与、出售的文物不能够追回，造成流失的</w:t>
            </w:r>
          </w:p>
        </w:tc>
        <w:tc>
          <w:tcPr>
            <w:tcW w:w="3925" w:type="dxa"/>
            <w:tcBorders>
              <w:top w:val="nil"/>
            </w:tcBorders>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并处一万至二万元罚款，有违法所得的，没收违法所得。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spacing w:line="320" w:lineRule="exact"/>
              <w:rPr>
                <w:color w:val="auto"/>
                <w:sz w:val="21"/>
                <w:szCs w:val="21"/>
              </w:rPr>
            </w:pPr>
            <w:r>
              <w:rPr>
                <w:rFonts w:hint="eastAsia"/>
                <w:color w:val="auto"/>
                <w:sz w:val="21"/>
                <w:szCs w:val="21"/>
              </w:rPr>
              <w:t>（四）</w:t>
            </w:r>
            <w:r>
              <w:rPr>
                <w:rFonts w:hint="eastAsia" w:ascii="宋体" w:hAnsi="宋体" w:cs="宋体"/>
                <w:color w:val="auto"/>
                <w:kern w:val="0"/>
                <w:sz w:val="21"/>
                <w:szCs w:val="21"/>
              </w:rPr>
              <w:t>国有文物收藏单位之间擅自借用馆藏一级文物；</w:t>
            </w:r>
          </w:p>
          <w:p>
            <w:pPr>
              <w:spacing w:line="320" w:lineRule="exact"/>
              <w:ind w:firstLine="210" w:firstLineChars="100"/>
              <w:rPr>
                <w:rFonts w:hint="eastAsia" w:ascii="宋体" w:hAnsi="宋体" w:cs="宋体"/>
                <w:color w:val="auto"/>
                <w:kern w:val="0"/>
                <w:sz w:val="21"/>
                <w:szCs w:val="21"/>
              </w:rPr>
            </w:pPr>
            <w:r>
              <w:rPr>
                <w:rFonts w:hint="eastAsia" w:ascii="宋体" w:hAnsi="宋体" w:cs="宋体"/>
                <w:color w:val="auto"/>
                <w:kern w:val="0"/>
                <w:sz w:val="21"/>
                <w:szCs w:val="21"/>
              </w:rPr>
              <w:t>-----------</w:t>
            </w:r>
          </w:p>
          <w:p>
            <w:pPr>
              <w:spacing w:line="320" w:lineRule="exact"/>
              <w:rPr>
                <w:rFonts w:hint="eastAsia" w:ascii="宋体" w:hAnsi="宋体" w:cs="宋体"/>
                <w:color w:val="auto"/>
                <w:kern w:val="0"/>
                <w:sz w:val="21"/>
                <w:szCs w:val="21"/>
              </w:rPr>
            </w:pPr>
          </w:p>
          <w:p>
            <w:pPr>
              <w:spacing w:line="320" w:lineRule="exact"/>
              <w:rPr>
                <w:rFonts w:hint="eastAsia" w:ascii="宋体" w:hAnsi="宋体" w:cs="宋体"/>
                <w:color w:val="auto"/>
                <w:kern w:val="0"/>
                <w:sz w:val="21"/>
                <w:szCs w:val="21"/>
              </w:rPr>
            </w:pPr>
          </w:p>
          <w:p>
            <w:pPr>
              <w:spacing w:line="320" w:lineRule="exact"/>
              <w:rPr>
                <w:color w:val="auto"/>
                <w:sz w:val="21"/>
                <w:szCs w:val="21"/>
              </w:rPr>
            </w:pPr>
            <w:r>
              <w:rPr>
                <w:rFonts w:hint="eastAsia" w:ascii="宋体" w:hAnsi="宋体" w:cs="宋体"/>
                <w:color w:val="auto"/>
                <w:kern w:val="0"/>
                <w:sz w:val="21"/>
                <w:szCs w:val="21"/>
              </w:rPr>
              <w:t>非国有文物收藏单位和其他单位擅自借用国有馆藏文物的；</w:t>
            </w:r>
          </w:p>
          <w:p>
            <w:pPr>
              <w:spacing w:line="320" w:lineRule="exact"/>
              <w:rPr>
                <w:rFonts w:hint="eastAsia" w:ascii="宋体" w:hAnsi="宋体" w:cs="宋体"/>
                <w:color w:val="auto"/>
                <w:kern w:val="0"/>
                <w:sz w:val="21"/>
                <w:szCs w:val="21"/>
              </w:rPr>
            </w:pPr>
          </w:p>
          <w:p>
            <w:pPr>
              <w:spacing w:line="320" w:lineRule="exact"/>
              <w:ind w:firstLine="105" w:firstLineChars="50"/>
              <w:rPr>
                <w:rFonts w:hint="eastAsia" w:ascii="宋体" w:hAnsi="宋体" w:cs="宋体"/>
                <w:color w:val="auto"/>
                <w:kern w:val="0"/>
                <w:sz w:val="21"/>
                <w:szCs w:val="21"/>
              </w:rPr>
            </w:pPr>
            <w:r>
              <w:rPr>
                <w:rFonts w:hint="eastAsia" w:ascii="宋体" w:hAnsi="宋体" w:cs="宋体"/>
                <w:color w:val="auto"/>
                <w:kern w:val="0"/>
                <w:sz w:val="21"/>
                <w:szCs w:val="21"/>
              </w:rPr>
              <w:t>-----------</w:t>
            </w:r>
          </w:p>
          <w:p>
            <w:pPr>
              <w:spacing w:line="320" w:lineRule="exact"/>
              <w:rPr>
                <w:rFonts w:hint="eastAsia" w:ascii="宋体" w:hAnsi="宋体" w:cs="宋体"/>
                <w:color w:val="auto"/>
                <w:kern w:val="0"/>
                <w:sz w:val="21"/>
                <w:szCs w:val="21"/>
              </w:rPr>
            </w:pPr>
          </w:p>
          <w:p>
            <w:pPr>
              <w:spacing w:line="320" w:lineRule="exact"/>
              <w:rPr>
                <w:color w:val="auto"/>
                <w:sz w:val="21"/>
                <w:szCs w:val="21"/>
              </w:rPr>
            </w:pPr>
            <w:r>
              <w:rPr>
                <w:rFonts w:hint="eastAsia" w:ascii="宋体" w:hAnsi="宋体" w:cs="宋体"/>
                <w:color w:val="auto"/>
                <w:kern w:val="0"/>
                <w:sz w:val="21"/>
                <w:szCs w:val="21"/>
              </w:rPr>
              <w:t>文物收藏单位之间借用文物期限超过三年的；</w:t>
            </w:r>
          </w:p>
          <w:p>
            <w:pPr>
              <w:rPr>
                <w:rFonts w:hint="eastAsia" w:ascii="宋体" w:hAnsi="宋体" w:cs="宋体"/>
                <w:color w:val="auto"/>
                <w:kern w:val="0"/>
                <w:sz w:val="21"/>
                <w:szCs w:val="21"/>
              </w:rPr>
            </w:pPr>
          </w:p>
          <w:p>
            <w:pPr>
              <w:ind w:firstLine="210" w:firstLineChars="100"/>
              <w:rPr>
                <w:rFonts w:hint="eastAsia" w:ascii="宋体" w:hAnsi="宋体" w:cs="宋体"/>
                <w:color w:val="auto"/>
                <w:kern w:val="0"/>
                <w:sz w:val="21"/>
                <w:szCs w:val="21"/>
              </w:rPr>
            </w:pPr>
            <w:r>
              <w:rPr>
                <w:rFonts w:hint="eastAsia" w:ascii="宋体" w:hAnsi="宋体" w:cs="宋体"/>
                <w:color w:val="auto"/>
                <w:kern w:val="0"/>
                <w:sz w:val="21"/>
                <w:szCs w:val="21"/>
              </w:rPr>
              <w:t>-----------</w:t>
            </w:r>
          </w:p>
          <w:p>
            <w:pPr>
              <w:rPr>
                <w:rFonts w:hint="eastAsia"/>
                <w:color w:val="auto"/>
                <w:sz w:val="21"/>
                <w:szCs w:val="21"/>
              </w:rPr>
            </w:pPr>
            <w:r>
              <w:rPr>
                <w:rFonts w:hint="eastAsia" w:ascii="宋体" w:hAnsi="宋体" w:cs="宋体"/>
                <w:color w:val="auto"/>
                <w:kern w:val="0"/>
                <w:sz w:val="21"/>
                <w:szCs w:val="21"/>
              </w:rPr>
              <w:t>已建立馆藏文物档案的国有文物收藏单位擅自交换馆藏一级文物的；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擅自借用一级文物，未造成损失的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擅自借用一级文物，造成一定程度损失的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擅自借用国有一般文物，未造成损失的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auto"/>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擅自借用国有珍贵文物，或者造成一定程度损失的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并处一万至二万元罚款，有违法所得的，没收违法所得。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auto"/>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借用期超过三年，未造成损失的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auto"/>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借用期超过三年，造成一定程度损失的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666699"/>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擅自交换馆藏一级文物，未造成损失，并且能够追回的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666699"/>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擅自交换馆藏一级文物，造成损失，或者流失的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并处五千二万元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spacing w:line="320" w:lineRule="exact"/>
              <w:rPr>
                <w:rFonts w:hint="eastAsia" w:ascii="宋体" w:hAnsi="宋体" w:cs="宋体"/>
                <w:color w:val="auto"/>
                <w:kern w:val="0"/>
                <w:sz w:val="21"/>
                <w:szCs w:val="21"/>
              </w:rPr>
            </w:pPr>
            <w:r>
              <w:rPr>
                <w:rStyle w:val="7"/>
                <w:rFonts w:hint="eastAsia" w:ascii="宋体" w:hAnsi="宋体"/>
                <w:b w:val="0"/>
                <w:color w:val="auto"/>
                <w:sz w:val="21"/>
                <w:szCs w:val="21"/>
              </w:rPr>
              <w:t>（五）挪用或者侵占国有文物收藏单位依法调拨、交换、出借文物所得补偿费用的；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Style w:val="7"/>
                <w:rFonts w:hint="eastAsia" w:ascii="宋体" w:hAnsi="宋体"/>
                <w:b w:val="0"/>
                <w:color w:val="auto"/>
                <w:sz w:val="21"/>
                <w:szCs w:val="21"/>
              </w:rPr>
              <w:t>挪用所得补偿费用五千元以下的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并处二千至一万元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spacing w:line="320" w:lineRule="exact"/>
              <w:rPr>
                <w:rStyle w:val="7"/>
                <w:rFonts w:hint="eastAsia" w:ascii="宋体" w:hAnsi="宋体"/>
                <w:b w:val="0"/>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Style w:val="7"/>
                <w:rFonts w:hint="eastAsia" w:ascii="宋体" w:hAnsi="宋体"/>
                <w:b w:val="0"/>
                <w:color w:val="auto"/>
                <w:sz w:val="21"/>
                <w:szCs w:val="21"/>
              </w:rPr>
              <w:t>挪用所得补偿费用五千元以上的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并处五千至二万元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restart"/>
            <w:noWrap w:val="0"/>
            <w:vAlign w:val="top"/>
          </w:tcPr>
          <w:p>
            <w:pPr>
              <w:jc w:val="center"/>
              <w:rPr>
                <w:rFonts w:hint="eastAsia" w:eastAsia="仿宋_GB2312"/>
                <w:b/>
                <w:color w:val="auto"/>
                <w:lang w:eastAsia="zh-CN"/>
              </w:rPr>
            </w:pPr>
            <w:r>
              <w:rPr>
                <w:rFonts w:hint="eastAsia"/>
                <w:b/>
                <w:color w:val="auto"/>
                <w:lang w:val="en-US" w:eastAsia="zh-CN"/>
              </w:rPr>
              <w:t>4</w:t>
            </w:r>
          </w:p>
        </w:tc>
        <w:tc>
          <w:tcPr>
            <w:tcW w:w="690" w:type="dxa"/>
            <w:vMerge w:val="restart"/>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noWrap w:val="0"/>
            <w:vAlign w:val="top"/>
          </w:tcPr>
          <w:p>
            <w:pPr>
              <w:rPr>
                <w:rFonts w:hint="eastAsia"/>
                <w:color w:val="auto"/>
                <w:sz w:val="21"/>
                <w:szCs w:val="21"/>
              </w:rPr>
            </w:pPr>
            <w:r>
              <w:rPr>
                <w:rFonts w:hint="eastAsia"/>
                <w:color w:val="auto"/>
                <w:sz w:val="21"/>
                <w:szCs w:val="21"/>
              </w:rPr>
              <w:t>第七十四条</w:t>
            </w:r>
          </w:p>
        </w:tc>
        <w:tc>
          <w:tcPr>
            <w:tcW w:w="1747" w:type="dxa"/>
            <w:vMerge w:val="restart"/>
            <w:tcBorders>
              <w:top w:val="nil"/>
            </w:tcBorders>
            <w:noWrap w:val="0"/>
            <w:vAlign w:val="top"/>
          </w:tcPr>
          <w:p>
            <w:pPr>
              <w:rPr>
                <w:rFonts w:hint="eastAsia"/>
                <w:color w:val="auto"/>
                <w:sz w:val="21"/>
                <w:szCs w:val="21"/>
              </w:rPr>
            </w:pPr>
            <w:r>
              <w:rPr>
                <w:rFonts w:hint="eastAsia"/>
                <w:color w:val="auto"/>
                <w:sz w:val="21"/>
                <w:szCs w:val="21"/>
              </w:rPr>
              <w:t>有下列行为之一，尚不构成犯罪的，由县级以上人民政府文物主管部门会同公安机关追缴文物；情节严重的，处五千元以上五万元以下的罚款</w:t>
            </w:r>
          </w:p>
        </w:tc>
        <w:tc>
          <w:tcPr>
            <w:tcW w:w="1742" w:type="dxa"/>
            <w:vMerge w:val="restart"/>
            <w:tcBorders>
              <w:top w:val="nil"/>
            </w:tcBorders>
            <w:noWrap w:val="0"/>
            <w:vAlign w:val="top"/>
          </w:tcPr>
          <w:p>
            <w:pPr>
              <w:rPr>
                <w:rFonts w:hint="eastAsia"/>
                <w:color w:val="auto"/>
                <w:sz w:val="21"/>
                <w:szCs w:val="21"/>
              </w:rPr>
            </w:pPr>
            <w:r>
              <w:rPr>
                <w:rFonts w:hint="eastAsia"/>
                <w:color w:val="auto"/>
                <w:sz w:val="21"/>
                <w:szCs w:val="21"/>
              </w:rPr>
              <w:t>（一）发现文物隐匿不报或者拒不上交的；</w:t>
            </w: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tcBorders>
            <w:noWrap w:val="0"/>
            <w:vAlign w:val="center"/>
          </w:tcPr>
          <w:p>
            <w:pPr>
              <w:jc w:val="center"/>
              <w:rPr>
                <w:rFonts w:hint="eastAsia"/>
                <w:color w:val="auto"/>
                <w:sz w:val="21"/>
                <w:szCs w:val="21"/>
              </w:rPr>
            </w:pPr>
            <w:r>
              <w:rPr>
                <w:rFonts w:hint="eastAsia"/>
                <w:color w:val="auto"/>
                <w:sz w:val="21"/>
                <w:szCs w:val="21"/>
              </w:rPr>
              <w:t>一般文物</w:t>
            </w:r>
          </w:p>
        </w:tc>
        <w:tc>
          <w:tcPr>
            <w:tcW w:w="3214" w:type="dxa"/>
            <w:tcBorders>
              <w:top w:val="nil"/>
            </w:tcBorders>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发现文物隐匿不报的，或者拒不上交的，</w:t>
            </w:r>
            <w:r>
              <w:rPr>
                <w:rFonts w:hint="eastAsia"/>
                <w:color w:val="auto"/>
                <w:sz w:val="21"/>
                <w:szCs w:val="21"/>
              </w:rPr>
              <w:t>追缴文物</w:t>
            </w:r>
            <w:r>
              <w:rPr>
                <w:rStyle w:val="7"/>
                <w:rFonts w:hint="eastAsia" w:ascii="宋体" w:hAnsi="宋体"/>
                <w:b w:val="0"/>
                <w:color w:val="auto"/>
                <w:sz w:val="21"/>
                <w:szCs w:val="21"/>
              </w:rPr>
              <w:t>未</w:t>
            </w:r>
            <w:r>
              <w:rPr>
                <w:rFonts w:hint="eastAsia" w:ascii="宋体" w:hAnsi="宋体"/>
                <w:color w:val="auto"/>
                <w:sz w:val="21"/>
                <w:szCs w:val="21"/>
              </w:rPr>
              <w:t>损坏的</w:t>
            </w:r>
            <w:r>
              <w:rPr>
                <w:rFonts w:hint="eastAsia" w:ascii="宋体" w:hAnsi="宋体" w:cs="宋体"/>
                <w:color w:val="auto"/>
                <w:kern w:val="0"/>
                <w:sz w:val="21"/>
                <w:szCs w:val="21"/>
              </w:rPr>
              <w:t>，</w:t>
            </w:r>
          </w:p>
        </w:tc>
        <w:tc>
          <w:tcPr>
            <w:tcW w:w="3925" w:type="dxa"/>
            <w:tcBorders>
              <w:top w:val="nil"/>
            </w:tcBorders>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auto"/>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tcBorders>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Style w:val="7"/>
                <w:rFonts w:hint="eastAsia" w:ascii="宋体" w:hAnsi="宋体"/>
                <w:b w:val="0"/>
                <w:color w:val="auto"/>
                <w:sz w:val="21"/>
                <w:szCs w:val="21"/>
              </w:rPr>
              <w:t>发现文物隐匿不报的，或者拒不上交的，已</w:t>
            </w:r>
            <w:r>
              <w:rPr>
                <w:rFonts w:hint="eastAsia" w:ascii="宋体" w:hAnsi="宋体"/>
                <w:color w:val="auto"/>
                <w:sz w:val="21"/>
                <w:szCs w:val="21"/>
              </w:rPr>
              <w:t>造成文物损坏的，</w:t>
            </w:r>
            <w:r>
              <w:rPr>
                <w:rFonts w:hint="eastAsia" w:ascii="宋体" w:hAnsi="宋体" w:cs="宋体"/>
                <w:color w:val="auto"/>
                <w:kern w:val="0"/>
                <w:sz w:val="21"/>
                <w:szCs w:val="21"/>
              </w:rPr>
              <w:t>或者擅自处置的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尚不构成犯罪的，由县级以上人民政府文物主管部门会同公安机关追缴文物，并处一万至三万元罚款。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auto"/>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珍贵文物</w:t>
            </w:r>
          </w:p>
        </w:tc>
        <w:tc>
          <w:tcPr>
            <w:tcW w:w="3214" w:type="dxa"/>
            <w:tcBorders>
              <w:top w:val="nil"/>
            </w:tcBorders>
            <w:noWrap w:val="0"/>
            <w:vAlign w:val="top"/>
          </w:tcPr>
          <w:p>
            <w:pPr>
              <w:rPr>
                <w:rFonts w:hint="eastAsia"/>
                <w:color w:val="auto"/>
                <w:sz w:val="21"/>
                <w:szCs w:val="21"/>
              </w:rPr>
            </w:pPr>
            <w:r>
              <w:rPr>
                <w:rStyle w:val="7"/>
                <w:rFonts w:hint="eastAsia" w:ascii="宋体" w:hAnsi="宋体"/>
                <w:b w:val="0"/>
                <w:color w:val="auto"/>
                <w:sz w:val="21"/>
                <w:szCs w:val="21"/>
              </w:rPr>
              <w:t>发现文物隐匿不报的，或者拒不上交的，</w:t>
            </w:r>
            <w:r>
              <w:rPr>
                <w:rFonts w:hint="eastAsia"/>
                <w:color w:val="auto"/>
                <w:sz w:val="21"/>
                <w:szCs w:val="21"/>
              </w:rPr>
              <w:t>追缴文物</w:t>
            </w:r>
            <w:r>
              <w:rPr>
                <w:rStyle w:val="7"/>
                <w:rFonts w:hint="eastAsia" w:ascii="宋体" w:hAnsi="宋体"/>
                <w:b w:val="0"/>
                <w:color w:val="auto"/>
                <w:sz w:val="21"/>
                <w:szCs w:val="21"/>
              </w:rPr>
              <w:t>未</w:t>
            </w:r>
            <w:r>
              <w:rPr>
                <w:rFonts w:hint="eastAsia" w:ascii="宋体" w:hAnsi="宋体"/>
                <w:color w:val="auto"/>
                <w:sz w:val="21"/>
                <w:szCs w:val="21"/>
              </w:rPr>
              <w:t>造成损坏的</w:t>
            </w:r>
          </w:p>
        </w:tc>
        <w:tc>
          <w:tcPr>
            <w:tcW w:w="3925" w:type="dxa"/>
            <w:tcBorders>
              <w:top w:val="nil"/>
            </w:tcBorders>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尚不构成犯罪的，由县级以上人民政府文物主管部门会同公安机关追缴文物，并处一万至二万元罚款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auto"/>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发现文物隐匿不报的，或者拒不上交的，已</w:t>
            </w:r>
            <w:r>
              <w:rPr>
                <w:rFonts w:hint="eastAsia" w:ascii="宋体" w:hAnsi="宋体"/>
                <w:color w:val="auto"/>
                <w:sz w:val="21"/>
                <w:szCs w:val="21"/>
              </w:rPr>
              <w:t>造成文物损坏的，</w:t>
            </w:r>
            <w:r>
              <w:rPr>
                <w:rFonts w:hint="eastAsia" w:ascii="宋体" w:hAnsi="宋体" w:cs="宋体"/>
                <w:color w:val="auto"/>
                <w:kern w:val="0"/>
                <w:sz w:val="21"/>
                <w:szCs w:val="21"/>
              </w:rPr>
              <w:t>或者擅自处置的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尚不构成犯罪的，由县级以上人民政府文物主管部门会同公安机关追缴文物，并处二万至五万元罚款。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（二）未按照规定移交拣选文物的；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color w:val="auto"/>
                <w:sz w:val="21"/>
                <w:szCs w:val="21"/>
              </w:rPr>
            </w:pPr>
            <w:r>
              <w:rPr>
                <w:rFonts w:hint="eastAsia"/>
                <w:color w:val="auto"/>
                <w:sz w:val="21"/>
                <w:szCs w:val="21"/>
              </w:rPr>
              <w:t>一般文物</w:t>
            </w:r>
          </w:p>
          <w:p>
            <w:pPr>
              <w:jc w:val="center"/>
              <w:rPr>
                <w:rFonts w:hint="eastAsia"/>
                <w:color w:val="auto"/>
                <w:sz w:val="21"/>
                <w:szCs w:val="21"/>
              </w:rPr>
            </w:pPr>
          </w:p>
        </w:tc>
        <w:tc>
          <w:tcPr>
            <w:tcW w:w="3214" w:type="dxa"/>
            <w:noWrap w:val="0"/>
            <w:vAlign w:val="top"/>
          </w:tcPr>
          <w:p>
            <w:pPr>
              <w:rPr>
                <w:rFonts w:hint="eastAsia" w:ascii="宋体" w:hAnsi="宋体" w:cs="宋体"/>
                <w:color w:val="auto"/>
                <w:kern w:val="0"/>
                <w:sz w:val="21"/>
                <w:szCs w:val="21"/>
              </w:rPr>
            </w:pPr>
            <w:r>
              <w:rPr>
                <w:rFonts w:hint="eastAsia" w:ascii="宋体" w:hAnsi="宋体"/>
                <w:color w:val="auto"/>
                <w:sz w:val="21"/>
                <w:szCs w:val="21"/>
              </w:rPr>
              <w:t>未移交</w:t>
            </w:r>
            <w:r>
              <w:rPr>
                <w:rStyle w:val="7"/>
                <w:rFonts w:hint="eastAsia" w:ascii="宋体" w:hAnsi="宋体"/>
                <w:b w:val="0"/>
                <w:color w:val="auto"/>
                <w:sz w:val="21"/>
                <w:szCs w:val="21"/>
              </w:rPr>
              <w:t>拣选</w:t>
            </w:r>
            <w:r>
              <w:rPr>
                <w:rFonts w:hint="eastAsia" w:ascii="宋体" w:hAnsi="宋体"/>
                <w:color w:val="auto"/>
                <w:sz w:val="21"/>
                <w:szCs w:val="21"/>
              </w:rPr>
              <w:t>文物；或造成文物轻度损坏，尚可修复的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olor w:val="auto"/>
                <w:sz w:val="21"/>
                <w:szCs w:val="21"/>
              </w:rPr>
              <w:t>拒不移交</w:t>
            </w:r>
            <w:r>
              <w:rPr>
                <w:rStyle w:val="7"/>
                <w:rFonts w:hint="eastAsia" w:ascii="宋体" w:hAnsi="宋体"/>
                <w:b w:val="0"/>
                <w:color w:val="auto"/>
                <w:sz w:val="21"/>
                <w:szCs w:val="21"/>
              </w:rPr>
              <w:t>拣选</w:t>
            </w:r>
            <w:r>
              <w:rPr>
                <w:rFonts w:hint="eastAsia" w:ascii="宋体" w:hAnsi="宋体"/>
                <w:color w:val="auto"/>
                <w:sz w:val="21"/>
                <w:szCs w:val="21"/>
              </w:rPr>
              <w:t>文物；或造成文物损坏，不可修复；</w:t>
            </w:r>
            <w:r>
              <w:rPr>
                <w:rFonts w:hint="eastAsia" w:ascii="宋体" w:hAnsi="宋体" w:cs="宋体"/>
                <w:color w:val="auto"/>
                <w:kern w:val="0"/>
                <w:sz w:val="21"/>
                <w:szCs w:val="21"/>
              </w:rPr>
              <w:t>或擅自处置的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尚不构成犯罪的，由县级以上人民政府文物主管部门会同公安机关追缴文物，并处一至三万元罚款。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未移交拣选</w:t>
            </w:r>
            <w:r>
              <w:rPr>
                <w:rFonts w:hint="eastAsia" w:ascii="宋体" w:hAnsi="宋体"/>
                <w:color w:val="auto"/>
                <w:sz w:val="21"/>
                <w:szCs w:val="21"/>
              </w:rPr>
              <w:t>文物；或造成文物轻度损坏，尚可修复的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尚不构成犯罪的，由县级以上人民政府文物主管部门会同公安机关追缴文物，并处一万至三万元罚款。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拒不移交拣选</w:t>
            </w:r>
            <w:r>
              <w:rPr>
                <w:rFonts w:hint="eastAsia" w:ascii="宋体" w:hAnsi="宋体"/>
                <w:color w:val="auto"/>
                <w:sz w:val="21"/>
                <w:szCs w:val="21"/>
              </w:rPr>
              <w:t>文物；或造成文物损坏，不可修复；</w:t>
            </w:r>
            <w:r>
              <w:rPr>
                <w:rFonts w:hint="eastAsia" w:ascii="宋体" w:hAnsi="宋体" w:cs="宋体"/>
                <w:color w:val="auto"/>
                <w:kern w:val="0"/>
                <w:sz w:val="21"/>
                <w:szCs w:val="21"/>
              </w:rPr>
              <w:t>或擅自处置的，</w:t>
            </w:r>
          </w:p>
        </w:tc>
        <w:tc>
          <w:tcPr>
            <w:tcW w:w="3925" w:type="dxa"/>
            <w:noWrap w:val="0"/>
            <w:vAlign w:val="top"/>
          </w:tcPr>
          <w:p>
            <w:pPr>
              <w:rPr>
                <w:rFonts w:hint="eastAsia" w:ascii="宋体" w:hAnsi="宋体" w:cs="宋体"/>
                <w:color w:val="auto"/>
                <w:kern w:val="0"/>
                <w:sz w:val="18"/>
                <w:szCs w:val="18"/>
              </w:rPr>
            </w:pPr>
            <w:r>
              <w:rPr>
                <w:rFonts w:hint="eastAsia"/>
                <w:color w:val="auto"/>
                <w:sz w:val="21"/>
                <w:szCs w:val="21"/>
              </w:rPr>
              <w:t>尚不构成犯罪的，由县级以上人民政府文物主管部门会同公安机关追缴文物，并处三万至五万元罚款。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vMerge w:val="restart"/>
            <w:noWrap w:val="0"/>
            <w:vAlign w:val="top"/>
          </w:tcPr>
          <w:p>
            <w:pPr>
              <w:jc w:val="center"/>
              <w:rPr>
                <w:rFonts w:hint="eastAsia" w:eastAsia="仿宋_GB2312"/>
                <w:b/>
                <w:color w:val="auto"/>
                <w:lang w:eastAsia="zh-CN"/>
              </w:rPr>
            </w:pPr>
            <w:r>
              <w:rPr>
                <w:rFonts w:hint="eastAsia"/>
                <w:b/>
                <w:color w:val="auto"/>
                <w:lang w:val="en-US" w:eastAsia="zh-CN"/>
              </w:rPr>
              <w:t>5</w:t>
            </w:r>
          </w:p>
        </w:tc>
        <w:tc>
          <w:tcPr>
            <w:tcW w:w="690" w:type="dxa"/>
            <w:vMerge w:val="restart"/>
            <w:tcBorders>
              <w:top w:val="nil"/>
            </w:tcBorders>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文物保护法实施条例》</w:t>
            </w:r>
          </w:p>
        </w:tc>
        <w:tc>
          <w:tcPr>
            <w:tcW w:w="500" w:type="dxa"/>
            <w:vMerge w:val="restart"/>
            <w:tcBorders>
              <w:top w:val="nil"/>
            </w:tcBorders>
            <w:noWrap w:val="0"/>
            <w:vAlign w:val="top"/>
          </w:tcPr>
          <w:p>
            <w:pPr>
              <w:rPr>
                <w:rFonts w:hint="eastAsia"/>
                <w:color w:val="auto"/>
                <w:sz w:val="21"/>
                <w:szCs w:val="21"/>
              </w:rPr>
            </w:pPr>
            <w:r>
              <w:rPr>
                <w:rFonts w:hint="eastAsia"/>
                <w:color w:val="auto"/>
                <w:sz w:val="21"/>
                <w:szCs w:val="21"/>
              </w:rPr>
              <w:t>第五十五条</w:t>
            </w:r>
          </w:p>
        </w:tc>
        <w:tc>
          <w:tcPr>
            <w:tcW w:w="1747" w:type="dxa"/>
            <w:vMerge w:val="restart"/>
            <w:tcBorders>
              <w:top w:val="nil"/>
            </w:tcBorders>
            <w:noWrap w:val="0"/>
            <w:vAlign w:val="top"/>
          </w:tcPr>
          <w:p>
            <w:pPr>
              <w:rPr>
                <w:rFonts w:hint="eastAsia" w:ascii="宋体" w:hAnsi="宋体"/>
                <w:color w:val="auto"/>
                <w:szCs w:val="21"/>
              </w:rPr>
            </w:pPr>
            <w:r>
              <w:rPr>
                <w:rFonts w:hint="eastAsia" w:ascii="宋体" w:hAnsi="宋体"/>
                <w:color w:val="auto"/>
                <w:sz w:val="21"/>
                <w:szCs w:val="21"/>
              </w:rPr>
              <w:t>由文物行政主管部门责令限期改正；逾期不改正，或者造成严重后果的，处5万元以上50万元以下的罚款；构成犯罪的，依法追究刑事责任。</w:t>
            </w:r>
          </w:p>
          <w:p>
            <w:pPr>
              <w:rPr>
                <w:rFonts w:hint="eastAsia"/>
                <w:color w:val="auto"/>
                <w:sz w:val="21"/>
                <w:szCs w:val="21"/>
              </w:rPr>
            </w:pPr>
          </w:p>
        </w:tc>
        <w:tc>
          <w:tcPr>
            <w:tcW w:w="1742" w:type="dxa"/>
            <w:vMerge w:val="restart"/>
            <w:tcBorders>
              <w:top w:val="nil"/>
            </w:tcBorders>
            <w:noWrap w:val="0"/>
            <w:vAlign w:val="top"/>
          </w:tcPr>
          <w:p>
            <w:pPr>
              <w:rPr>
                <w:rFonts w:hint="eastAsia"/>
                <w:color w:val="auto"/>
                <w:sz w:val="21"/>
                <w:szCs w:val="21"/>
              </w:rPr>
            </w:pPr>
            <w:r>
              <w:rPr>
                <w:rStyle w:val="7"/>
                <w:rFonts w:hint="eastAsia" w:ascii="宋体" w:hAnsi="宋体"/>
                <w:b w:val="0"/>
                <w:color w:val="auto"/>
                <w:sz w:val="21"/>
                <w:szCs w:val="21"/>
              </w:rPr>
              <w:t>未取得相应等级的文物保护工程资质证书，擅自承担文物保护单位修缮、迁移、重建工程的；</w:t>
            </w: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tcBorders>
            <w:noWrap w:val="0"/>
            <w:vAlign w:val="center"/>
          </w:tcPr>
          <w:p>
            <w:pPr>
              <w:jc w:val="center"/>
              <w:rPr>
                <w:rFonts w:hint="eastAsia"/>
                <w:color w:val="auto"/>
                <w:sz w:val="21"/>
                <w:szCs w:val="21"/>
              </w:rPr>
            </w:pPr>
            <w:r>
              <w:rPr>
                <w:rFonts w:hint="eastAsia"/>
                <w:color w:val="auto"/>
                <w:sz w:val="21"/>
                <w:szCs w:val="21"/>
              </w:rPr>
              <w:t>县级人民政府文物部门登记公布的不可移动文物</w:t>
            </w:r>
          </w:p>
        </w:tc>
        <w:tc>
          <w:tcPr>
            <w:tcW w:w="3214" w:type="dxa"/>
            <w:tcBorders>
              <w:top w:val="nil"/>
            </w:tcBorders>
            <w:noWrap w:val="0"/>
            <w:vAlign w:val="top"/>
          </w:tcPr>
          <w:p>
            <w:pPr>
              <w:rPr>
                <w:rFonts w:hint="eastAsia"/>
                <w:color w:val="auto"/>
                <w:sz w:val="21"/>
                <w:szCs w:val="21"/>
              </w:rPr>
            </w:pPr>
            <w:r>
              <w:rPr>
                <w:rFonts w:hint="eastAsia"/>
                <w:color w:val="auto"/>
                <w:sz w:val="21"/>
                <w:szCs w:val="21"/>
              </w:rPr>
              <w:t>未造成严重后果，经改正，尚可补救的</w:t>
            </w:r>
          </w:p>
        </w:tc>
        <w:tc>
          <w:tcPr>
            <w:tcW w:w="3925" w:type="dxa"/>
            <w:tcBorders>
              <w:top w:val="nil"/>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9" w:type="dxa"/>
            <w:vMerge w:val="continue"/>
            <w:noWrap w:val="0"/>
            <w:vAlign w:val="top"/>
          </w:tcPr>
          <w:p>
            <w:pPr>
              <w:jc w:val="cente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ascii="宋体" w:hAnsi="宋体"/>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noWrap w:val="0"/>
            <w:vAlign w:val="top"/>
          </w:tcPr>
          <w:p>
            <w:pPr>
              <w:jc w:val="cente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ascii="宋体" w:hAnsi="宋体"/>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single" w:color="auto" w:sz="4" w:space="0"/>
            </w:tcBorders>
            <w:noWrap w:val="0"/>
            <w:vAlign w:val="center"/>
          </w:tcPr>
          <w:p>
            <w:pPr>
              <w:jc w:val="center"/>
              <w:rPr>
                <w:rFonts w:hint="eastAsia"/>
                <w:color w:val="auto"/>
                <w:sz w:val="21"/>
                <w:szCs w:val="21"/>
              </w:rPr>
            </w:pPr>
            <w:r>
              <w:rPr>
                <w:rFonts w:hint="eastAsia"/>
                <w:color w:val="auto"/>
                <w:sz w:val="21"/>
                <w:szCs w:val="21"/>
              </w:rPr>
              <w:t>市、县（区）级文物保护单位</w:t>
            </w: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未造成严重后果，经改正，尚可补救的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ascii="宋体" w:hAnsi="宋体"/>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single" w:color="auto" w:sz="4" w:space="0"/>
            </w:tcBorders>
            <w:noWrap w:val="0"/>
            <w:vAlign w:val="center"/>
          </w:tcPr>
          <w:p>
            <w:pPr>
              <w:jc w:val="center"/>
              <w:rPr>
                <w:rFonts w:hint="eastAsia"/>
                <w:color w:val="auto"/>
                <w:sz w:val="21"/>
                <w:szCs w:val="21"/>
              </w:rPr>
            </w:pPr>
            <w:r>
              <w:rPr>
                <w:rFonts w:hint="eastAsia"/>
                <w:color w:val="auto"/>
                <w:sz w:val="21"/>
                <w:szCs w:val="21"/>
              </w:rPr>
              <w:t>省级文物保护单位</w:t>
            </w: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未造成严重后果，经改正，尚可补救的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rPr>
                <w:rFonts w:hint="eastAsia"/>
                <w:color w:val="auto"/>
                <w:sz w:val="21"/>
                <w:szCs w:val="21"/>
              </w:rPr>
            </w:pPr>
            <w:r>
              <w:rPr>
                <w:rFonts w:hint="eastAsia"/>
                <w:color w:val="auto"/>
                <w:sz w:val="21"/>
                <w:szCs w:val="21"/>
              </w:rPr>
              <w:t>严重</w:t>
            </w:r>
          </w:p>
        </w:tc>
        <w:tc>
          <w:tcPr>
            <w:tcW w:w="1434" w:type="dxa"/>
            <w:vMerge w:val="restart"/>
            <w:tcBorders>
              <w:top w:val="single" w:color="auto" w:sz="4" w:space="0"/>
            </w:tcBorders>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未造成特别严重后果，经改正，尚可补救的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尚不构成犯罪的，由县级以上人民政府文物主管部门责令改正，处四十万至五十万元罚款。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39" w:type="dxa"/>
            <w:vMerge w:val="restart"/>
            <w:noWrap w:val="0"/>
            <w:vAlign w:val="top"/>
          </w:tcPr>
          <w:p>
            <w:pPr>
              <w:jc w:val="center"/>
              <w:rPr>
                <w:rFonts w:hint="eastAsia" w:eastAsia="仿宋_GB2312"/>
                <w:b/>
                <w:color w:val="auto"/>
                <w:lang w:eastAsia="zh-CN"/>
              </w:rPr>
            </w:pPr>
            <w:r>
              <w:rPr>
                <w:rFonts w:hint="eastAsia"/>
                <w:b/>
                <w:color w:val="auto"/>
                <w:lang w:val="en-US" w:eastAsia="zh-CN"/>
              </w:rPr>
              <w:t>6</w:t>
            </w:r>
          </w:p>
        </w:tc>
        <w:tc>
          <w:tcPr>
            <w:tcW w:w="690" w:type="dxa"/>
            <w:vMerge w:val="restart"/>
            <w:noWrap w:val="0"/>
            <w:vAlign w:val="top"/>
          </w:tcPr>
          <w:p>
            <w:pPr>
              <w:rPr>
                <w:color w:val="auto"/>
              </w:rPr>
            </w:pPr>
            <w:r>
              <w:rPr>
                <w:rFonts w:hint="eastAsia"/>
                <w:color w:val="auto"/>
                <w:sz w:val="21"/>
                <w:szCs w:val="21"/>
              </w:rPr>
              <w:t>《中华人民共和国</w:t>
            </w:r>
            <w:r>
              <w:rPr>
                <w:rFonts w:hint="eastAsia" w:hAnsi="宋体" w:cs="宋体"/>
                <w:color w:val="auto"/>
                <w:sz w:val="21"/>
                <w:szCs w:val="21"/>
              </w:rPr>
              <w:t>文物保护法实施条例》</w:t>
            </w:r>
          </w:p>
        </w:tc>
        <w:tc>
          <w:tcPr>
            <w:tcW w:w="500" w:type="dxa"/>
            <w:vMerge w:val="restart"/>
            <w:noWrap w:val="0"/>
            <w:vAlign w:val="top"/>
          </w:tcPr>
          <w:p>
            <w:pPr>
              <w:rPr>
                <w:color w:val="auto"/>
              </w:rPr>
            </w:pPr>
            <w:r>
              <w:rPr>
                <w:rFonts w:hint="eastAsia"/>
                <w:color w:val="auto"/>
                <w:sz w:val="21"/>
                <w:szCs w:val="21"/>
              </w:rPr>
              <w:t>第五十六条</w:t>
            </w:r>
          </w:p>
        </w:tc>
        <w:tc>
          <w:tcPr>
            <w:tcW w:w="1747" w:type="dxa"/>
            <w:vMerge w:val="restart"/>
            <w:tcBorders>
              <w:top w:val="nil"/>
              <w:bottom w:val="nil"/>
            </w:tcBorders>
            <w:noWrap w:val="0"/>
            <w:vAlign w:val="top"/>
          </w:tcPr>
          <w:p>
            <w:pPr>
              <w:rPr>
                <w:rFonts w:hint="eastAsia"/>
                <w:color w:val="auto"/>
                <w:sz w:val="21"/>
                <w:szCs w:val="21"/>
              </w:rPr>
            </w:pPr>
            <w:r>
              <w:rPr>
                <w:rFonts w:hint="eastAsia"/>
                <w:color w:val="auto"/>
                <w:sz w:val="21"/>
                <w:szCs w:val="21"/>
              </w:rPr>
              <w:t>由文物行政主管部门责令停止违法活动；没收违法所得和从事违法活动的专用工具、设备；造成严重后果的，并处１万元以上10万元以下的罚款；构成犯罪的，依法追究刑事责任。</w:t>
            </w:r>
          </w:p>
        </w:tc>
        <w:tc>
          <w:tcPr>
            <w:tcW w:w="1742" w:type="dxa"/>
            <w:vMerge w:val="restart"/>
            <w:noWrap w:val="0"/>
            <w:vAlign w:val="top"/>
          </w:tcPr>
          <w:p>
            <w:pPr>
              <w:rPr>
                <w:rFonts w:hint="eastAsia"/>
                <w:color w:val="auto"/>
                <w:sz w:val="21"/>
                <w:szCs w:val="21"/>
              </w:rPr>
            </w:pPr>
            <w:r>
              <w:rPr>
                <w:rFonts w:hint="eastAsia"/>
                <w:color w:val="auto"/>
                <w:sz w:val="21"/>
                <w:szCs w:val="21"/>
              </w:rPr>
              <w:t>未取得资质证书，擅自从事馆藏文物的修复、复制、拓印活动的；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一般文物</w:t>
            </w:r>
          </w:p>
        </w:tc>
        <w:tc>
          <w:tcPr>
            <w:tcW w:w="3214" w:type="dxa"/>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由文物行政主管部门责令停止违法活动；没收违法所得和从事违法活动的专用工具、设备，并处一至二万元罚款。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noWrap w:val="0"/>
            <w:vAlign w:val="top"/>
          </w:tcPr>
          <w:p>
            <w:pPr>
              <w:jc w:val="cente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tcBorders>
              <w:top w:val="nil"/>
              <w:bottom w:val="nil"/>
            </w:tcBorders>
            <w:noWrap w:val="0"/>
            <w:vAlign w:val="top"/>
          </w:tcPr>
          <w:p>
            <w:pPr>
              <w:rPr>
                <w:rFonts w:hint="eastAsia"/>
                <w:color w:val="auto"/>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w:t>
            </w:r>
            <w:r>
              <w:rPr>
                <w:rFonts w:hint="eastAsia" w:ascii="仿宋_GB2312" w:hAnsi="宋体-18030" w:eastAsia="仿宋_GB2312"/>
                <w:color w:val="auto"/>
                <w:kern w:val="2"/>
                <w:sz w:val="21"/>
                <w:szCs w:val="21"/>
              </w:rPr>
              <w:t>二万至五万元</w:t>
            </w:r>
            <w:r>
              <w:rPr>
                <w:rFonts w:hint="eastAsia" w:ascii="仿宋_GB2312" w:eastAsia="仿宋_GB2312"/>
                <w:color w:val="auto"/>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noWrap w:val="0"/>
            <w:vAlign w:val="top"/>
          </w:tcPr>
          <w:p>
            <w:pP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tcBorders>
              <w:top w:val="nil"/>
              <w:bottom w:val="nil"/>
            </w:tcBorders>
            <w:noWrap w:val="0"/>
            <w:vAlign w:val="top"/>
          </w:tcPr>
          <w:p>
            <w:pPr>
              <w:rPr>
                <w:rFonts w:hint="eastAsia"/>
                <w:color w:val="auto"/>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w:t>
            </w:r>
            <w:r>
              <w:rPr>
                <w:rFonts w:hint="eastAsia" w:ascii="仿宋_GB2312" w:hAnsi="宋体-18030" w:eastAsia="仿宋_GB2312"/>
                <w:color w:val="auto"/>
                <w:kern w:val="2"/>
                <w:sz w:val="21"/>
                <w:szCs w:val="21"/>
              </w:rPr>
              <w:t>二万至五万元</w:t>
            </w:r>
            <w:r>
              <w:rPr>
                <w:rFonts w:hint="eastAsia" w:ascii="仿宋_GB2312" w:eastAsia="仿宋_GB2312"/>
                <w:color w:val="auto"/>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tcBorders>
              <w:bottom w:val="single" w:color="auto" w:sz="4" w:space="0"/>
            </w:tcBorders>
            <w:noWrap w:val="0"/>
            <w:vAlign w:val="top"/>
          </w:tcPr>
          <w:p>
            <w:pPr>
              <w:rPr>
                <w:rFonts w:hint="eastAsia"/>
                <w:color w:val="auto"/>
                <w:sz w:val="21"/>
                <w:szCs w:val="21"/>
              </w:rPr>
            </w:pPr>
          </w:p>
        </w:tc>
        <w:tc>
          <w:tcPr>
            <w:tcW w:w="690" w:type="dxa"/>
            <w:vMerge w:val="continue"/>
            <w:tcBorders>
              <w:bottom w:val="single" w:color="auto" w:sz="4" w:space="0"/>
            </w:tcBorders>
            <w:noWrap w:val="0"/>
            <w:vAlign w:val="top"/>
          </w:tcPr>
          <w:p>
            <w:pPr>
              <w:rPr>
                <w:rFonts w:hint="eastAsia"/>
                <w:color w:val="auto"/>
                <w:sz w:val="21"/>
                <w:szCs w:val="21"/>
              </w:rPr>
            </w:pPr>
          </w:p>
        </w:tc>
        <w:tc>
          <w:tcPr>
            <w:tcW w:w="500" w:type="dxa"/>
            <w:vMerge w:val="continue"/>
            <w:tcBorders>
              <w:bottom w:val="single" w:color="auto" w:sz="4" w:space="0"/>
            </w:tcBorders>
            <w:noWrap w:val="0"/>
            <w:vAlign w:val="top"/>
          </w:tcPr>
          <w:p>
            <w:pPr>
              <w:rPr>
                <w:rFonts w:hint="eastAsia"/>
                <w:color w:val="auto"/>
                <w:sz w:val="21"/>
                <w:szCs w:val="21"/>
              </w:rPr>
            </w:pPr>
          </w:p>
        </w:tc>
        <w:tc>
          <w:tcPr>
            <w:tcW w:w="1747" w:type="dxa"/>
            <w:vMerge w:val="continue"/>
            <w:tcBorders>
              <w:top w:val="nil"/>
              <w:bottom w:val="single" w:color="auto" w:sz="4" w:space="0"/>
            </w:tcBorders>
            <w:noWrap w:val="0"/>
            <w:vAlign w:val="top"/>
          </w:tcPr>
          <w:p>
            <w:pPr>
              <w:rPr>
                <w:rFonts w:hint="eastAsia"/>
                <w:color w:val="auto"/>
                <w:sz w:val="21"/>
                <w:szCs w:val="21"/>
              </w:rPr>
            </w:pPr>
          </w:p>
        </w:tc>
        <w:tc>
          <w:tcPr>
            <w:tcW w:w="1742" w:type="dxa"/>
            <w:vMerge w:val="continue"/>
            <w:tcBorders>
              <w:bottom w:val="single" w:color="auto" w:sz="4" w:space="0"/>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9" w:type="dxa"/>
            <w:vMerge w:val="restart"/>
            <w:tcBorders>
              <w:top w:val="single" w:color="auto" w:sz="4" w:space="0"/>
              <w:bottom w:val="single" w:color="auto" w:sz="4" w:space="0"/>
              <w:right w:val="single" w:color="auto" w:sz="4" w:space="0"/>
            </w:tcBorders>
            <w:noWrap w:val="0"/>
            <w:vAlign w:val="top"/>
          </w:tcPr>
          <w:p>
            <w:pPr>
              <w:jc w:val="center"/>
              <w:rPr>
                <w:rFonts w:hint="eastAsia" w:eastAsia="仿宋_GB2312"/>
                <w:b/>
                <w:color w:val="auto"/>
                <w:lang w:eastAsia="zh-CN"/>
              </w:rPr>
            </w:pPr>
            <w:r>
              <w:rPr>
                <w:rFonts w:hint="eastAsia"/>
                <w:b/>
                <w:color w:val="auto"/>
                <w:lang w:val="en-US" w:eastAsia="zh-CN"/>
              </w:rPr>
              <w:t>7</w:t>
            </w:r>
          </w:p>
        </w:tc>
        <w:tc>
          <w:tcPr>
            <w:tcW w:w="690"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文物保护法实施条例》</w:t>
            </w:r>
          </w:p>
        </w:tc>
        <w:tc>
          <w:tcPr>
            <w:tcW w:w="500"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1"/>
                <w:szCs w:val="21"/>
              </w:rPr>
            </w:pPr>
            <w:r>
              <w:rPr>
                <w:rFonts w:hint="eastAsia"/>
                <w:color w:val="auto"/>
                <w:sz w:val="21"/>
                <w:szCs w:val="21"/>
              </w:rPr>
              <w:t>第五十八条</w:t>
            </w:r>
          </w:p>
        </w:tc>
        <w:tc>
          <w:tcPr>
            <w:tcW w:w="1747"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1"/>
                <w:szCs w:val="21"/>
              </w:rPr>
            </w:pPr>
            <w:r>
              <w:rPr>
                <w:rFonts w:hint="eastAsia"/>
                <w:color w:val="auto"/>
                <w:sz w:val="21"/>
                <w:szCs w:val="21"/>
              </w:rPr>
              <w:t>由文物行政主管部门给予警告；造成严重后果的，处2000元以上２万元以下的罚款；对负有责任的主管人员和其他直接责任人员依法给予行政处分；</w:t>
            </w:r>
          </w:p>
        </w:tc>
        <w:tc>
          <w:tcPr>
            <w:tcW w:w="1742" w:type="dxa"/>
            <w:vMerge w:val="restart"/>
            <w:tcBorders>
              <w:top w:val="single" w:color="auto" w:sz="4" w:space="0"/>
              <w:left w:val="single" w:color="auto" w:sz="4" w:space="0"/>
              <w:bottom w:val="single" w:color="auto" w:sz="4" w:space="0"/>
            </w:tcBorders>
            <w:noWrap w:val="0"/>
            <w:vAlign w:val="top"/>
          </w:tcPr>
          <w:p>
            <w:pPr>
              <w:rPr>
                <w:rFonts w:hint="eastAsia"/>
                <w:color w:val="auto"/>
                <w:sz w:val="21"/>
                <w:szCs w:val="21"/>
              </w:rPr>
            </w:pPr>
            <w:r>
              <w:rPr>
                <w:rFonts w:hint="eastAsia"/>
                <w:color w:val="auto"/>
                <w:sz w:val="21"/>
                <w:szCs w:val="21"/>
              </w:rPr>
              <w:t>未经批准擅自修复、复制、拓印、拍摄馆藏珍贵文物的；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二至三级</w:t>
            </w:r>
          </w:p>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rPr>
                <w:rFonts w:hint="eastAsia"/>
                <w:color w:val="auto"/>
                <w:sz w:val="21"/>
                <w:szCs w:val="21"/>
              </w:rPr>
            </w:pPr>
            <w:r>
              <w:rPr>
                <w:rFonts w:hint="eastAsia"/>
                <w:color w:val="auto"/>
                <w:sz w:val="21"/>
                <w:szCs w:val="21"/>
              </w:rPr>
              <w:t>由文物行政主管部门给予警告并处二千至一万元罚款；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9" w:type="dxa"/>
            <w:vMerge w:val="continue"/>
            <w:tcBorders>
              <w:top w:val="single" w:color="auto" w:sz="4" w:space="0"/>
              <w:bottom w:val="single" w:color="auto" w:sz="4" w:space="0"/>
              <w:right w:val="nil"/>
            </w:tcBorders>
            <w:noWrap w:val="0"/>
            <w:vAlign w:val="top"/>
          </w:tcPr>
          <w:p>
            <w:pPr>
              <w:jc w:val="center"/>
              <w:rPr>
                <w:rFonts w:hint="eastAsia"/>
                <w:color w:val="auto"/>
                <w:sz w:val="21"/>
                <w:szCs w:val="21"/>
              </w:rPr>
            </w:pPr>
          </w:p>
        </w:tc>
        <w:tc>
          <w:tcPr>
            <w:tcW w:w="690" w:type="dxa"/>
            <w:vMerge w:val="continue"/>
            <w:tcBorders>
              <w:top w:val="single" w:color="auto" w:sz="4" w:space="0"/>
              <w:left w:val="nil"/>
              <w:bottom w:val="single" w:color="auto" w:sz="4" w:space="0"/>
            </w:tcBorders>
            <w:noWrap w:val="0"/>
            <w:vAlign w:val="top"/>
          </w:tcPr>
          <w:p>
            <w:pPr>
              <w:rPr>
                <w:rFonts w:hint="eastAsia"/>
                <w:color w:val="auto"/>
                <w:sz w:val="21"/>
                <w:szCs w:val="21"/>
              </w:rPr>
            </w:pPr>
          </w:p>
        </w:tc>
        <w:tc>
          <w:tcPr>
            <w:tcW w:w="500"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7"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2"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rPr>
                <w:rFonts w:hint="eastAsia"/>
                <w:color w:val="auto"/>
                <w:sz w:val="21"/>
                <w:szCs w:val="21"/>
              </w:rPr>
            </w:pPr>
            <w:r>
              <w:rPr>
                <w:rFonts w:hint="eastAsia"/>
                <w:color w:val="auto"/>
                <w:sz w:val="21"/>
                <w:szCs w:val="21"/>
              </w:rPr>
              <w:t xml:space="preserve">由文物行政主管部门给予警告并处五千至一万元罚款；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39" w:type="dxa"/>
            <w:vMerge w:val="continue"/>
            <w:tcBorders>
              <w:top w:val="single" w:color="auto" w:sz="4" w:space="0"/>
              <w:bottom w:val="single" w:color="auto" w:sz="4" w:space="0"/>
              <w:right w:val="nil"/>
            </w:tcBorders>
            <w:noWrap w:val="0"/>
            <w:vAlign w:val="top"/>
          </w:tcPr>
          <w:p>
            <w:pPr>
              <w:rPr>
                <w:rFonts w:hint="eastAsia"/>
                <w:color w:val="auto"/>
                <w:sz w:val="21"/>
                <w:szCs w:val="21"/>
              </w:rPr>
            </w:pPr>
          </w:p>
        </w:tc>
        <w:tc>
          <w:tcPr>
            <w:tcW w:w="690" w:type="dxa"/>
            <w:vMerge w:val="continue"/>
            <w:tcBorders>
              <w:top w:val="single" w:color="auto" w:sz="4" w:space="0"/>
              <w:left w:val="nil"/>
              <w:bottom w:val="single" w:color="auto" w:sz="4" w:space="0"/>
            </w:tcBorders>
            <w:noWrap w:val="0"/>
            <w:vAlign w:val="top"/>
          </w:tcPr>
          <w:p>
            <w:pPr>
              <w:rPr>
                <w:rFonts w:hint="eastAsia"/>
                <w:color w:val="auto"/>
                <w:sz w:val="21"/>
                <w:szCs w:val="21"/>
              </w:rPr>
            </w:pPr>
          </w:p>
        </w:tc>
        <w:tc>
          <w:tcPr>
            <w:tcW w:w="500"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7"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2"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一级珍贵</w:t>
            </w:r>
          </w:p>
          <w:p>
            <w:pPr>
              <w:jc w:val="center"/>
              <w:rPr>
                <w:rFonts w:hint="eastAsia"/>
                <w:color w:val="auto"/>
                <w:sz w:val="21"/>
                <w:szCs w:val="21"/>
              </w:rPr>
            </w:pPr>
            <w:r>
              <w:rPr>
                <w:rFonts w:hint="eastAsia"/>
                <w:color w:val="auto"/>
                <w:sz w:val="21"/>
                <w:szCs w:val="21"/>
              </w:rPr>
              <w:t>文物</w:t>
            </w:r>
          </w:p>
        </w:tc>
        <w:tc>
          <w:tcPr>
            <w:tcW w:w="3214" w:type="dxa"/>
            <w:tcBorders>
              <w:top w:val="single" w:color="auto" w:sz="4" w:space="0"/>
              <w:bottom w:val="nil"/>
            </w:tcBorders>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rPr>
                <w:rFonts w:hint="eastAsia"/>
                <w:color w:val="auto"/>
                <w:sz w:val="21"/>
                <w:szCs w:val="21"/>
              </w:rPr>
            </w:pPr>
            <w:r>
              <w:rPr>
                <w:rFonts w:hint="eastAsia"/>
                <w:color w:val="auto"/>
                <w:sz w:val="21"/>
                <w:szCs w:val="21"/>
              </w:rPr>
              <w:t>由文物行政主管部门给予警告并处五千至一万元罚款。对负有责任的主管人员和其他直接责任人员依法给予行政处分；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vMerge w:val="continue"/>
            <w:tcBorders>
              <w:top w:val="single" w:color="auto" w:sz="4" w:space="0"/>
              <w:bottom w:val="single" w:color="auto" w:sz="4" w:space="0"/>
              <w:right w:val="nil"/>
            </w:tcBorders>
            <w:noWrap w:val="0"/>
            <w:vAlign w:val="top"/>
          </w:tcPr>
          <w:p>
            <w:pPr>
              <w:rPr>
                <w:rFonts w:hint="eastAsia"/>
                <w:color w:val="666699"/>
                <w:sz w:val="21"/>
                <w:szCs w:val="21"/>
              </w:rPr>
            </w:pPr>
          </w:p>
        </w:tc>
        <w:tc>
          <w:tcPr>
            <w:tcW w:w="690" w:type="dxa"/>
            <w:vMerge w:val="continue"/>
            <w:tcBorders>
              <w:top w:val="single" w:color="auto" w:sz="4" w:space="0"/>
              <w:left w:val="nil"/>
              <w:bottom w:val="single" w:color="auto" w:sz="4" w:space="0"/>
            </w:tcBorders>
            <w:noWrap w:val="0"/>
            <w:vAlign w:val="top"/>
          </w:tcPr>
          <w:p>
            <w:pPr>
              <w:rPr>
                <w:rFonts w:hint="eastAsia"/>
                <w:color w:val="auto"/>
                <w:sz w:val="21"/>
                <w:szCs w:val="21"/>
              </w:rPr>
            </w:pPr>
          </w:p>
        </w:tc>
        <w:tc>
          <w:tcPr>
            <w:tcW w:w="500"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7"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2"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rPr>
                <w:rFonts w:hint="eastAsia"/>
                <w:color w:val="auto"/>
                <w:sz w:val="21"/>
                <w:szCs w:val="21"/>
              </w:rPr>
            </w:pPr>
            <w:r>
              <w:rPr>
                <w:rFonts w:hint="eastAsia"/>
                <w:color w:val="auto"/>
                <w:sz w:val="21"/>
                <w:szCs w:val="21"/>
              </w:rPr>
              <w:t>由文物行政主管部门给予警告并处一万至二万元罚款；对负有责任的主管人员和其他直接责任人员依法给予行政处分；</w:t>
            </w:r>
          </w:p>
        </w:tc>
      </w:tr>
    </w:tbl>
    <w:p>
      <w:pPr>
        <w:rPr>
          <w:rFonts w:hint="eastAsia"/>
          <w:color w:val="auto"/>
          <w:sz w:val="24"/>
          <w:szCs w:val="24"/>
        </w:rPr>
      </w:pPr>
      <w:r>
        <w:rPr>
          <w:rFonts w:hint="eastAsia"/>
          <w:color w:val="auto"/>
          <w:sz w:val="24"/>
          <w:szCs w:val="24"/>
        </w:rPr>
        <w:t>说明：</w:t>
      </w:r>
    </w:p>
    <w:p>
      <w:pPr>
        <w:rPr>
          <w:rFonts w:hint="eastAsia"/>
          <w:color w:val="auto"/>
          <w:sz w:val="24"/>
          <w:szCs w:val="24"/>
        </w:rPr>
      </w:pPr>
      <w:r>
        <w:rPr>
          <w:rFonts w:hint="eastAsia"/>
          <w:color w:val="auto"/>
          <w:sz w:val="24"/>
          <w:szCs w:val="24"/>
        </w:rPr>
        <w:t>1、违法情节“轻微、一般、严重、特别严重”的四种表述，是指《</w:t>
      </w:r>
      <w:r>
        <w:rPr>
          <w:rFonts w:hint="eastAsia"/>
          <w:color w:val="auto"/>
          <w:sz w:val="24"/>
          <w:szCs w:val="24"/>
          <w:lang w:val="en-US" w:eastAsia="zh-CN"/>
        </w:rPr>
        <w:t>中华人民共和国</w:t>
      </w:r>
      <w:bookmarkStart w:id="0" w:name="_GoBack"/>
      <w:bookmarkEnd w:id="0"/>
      <w:r>
        <w:rPr>
          <w:rFonts w:hint="eastAsia"/>
          <w:color w:val="auto"/>
          <w:sz w:val="24"/>
          <w:szCs w:val="24"/>
        </w:rPr>
        <w:t>文物</w:t>
      </w:r>
      <w:r>
        <w:rPr>
          <w:rFonts w:hint="eastAsia"/>
          <w:color w:val="auto"/>
          <w:sz w:val="24"/>
          <w:szCs w:val="24"/>
          <w:lang w:eastAsia="zh-CN"/>
        </w:rPr>
        <w:t>保护</w:t>
      </w:r>
      <w:r>
        <w:rPr>
          <w:rFonts w:hint="eastAsia"/>
          <w:color w:val="auto"/>
          <w:sz w:val="24"/>
          <w:szCs w:val="24"/>
        </w:rPr>
        <w:t>法》法律责任中限定的“尚不构成犯罪”的行政违法行为前提下的相对情节；2、实践中可根据省局标准，确定情形系数</w:t>
      </w:r>
      <w:r>
        <w:rPr>
          <w:rFonts w:hint="eastAsia" w:hAnsi="宋体" w:cs="宋体"/>
          <w:color w:val="auto"/>
          <w:kern w:val="0"/>
          <w:sz w:val="24"/>
          <w:szCs w:val="24"/>
        </w:rPr>
        <w:t>取值再</w:t>
      </w:r>
      <w:r>
        <w:rPr>
          <w:rFonts w:hint="eastAsia"/>
          <w:color w:val="auto"/>
          <w:sz w:val="24"/>
          <w:szCs w:val="24"/>
        </w:rPr>
        <w:t>细化；3、违法情形的认定要</w:t>
      </w:r>
      <w:r>
        <w:rPr>
          <w:rFonts w:hint="eastAsia" w:hAnsi="宋体" w:cs="宋体"/>
          <w:color w:val="auto"/>
          <w:kern w:val="0"/>
          <w:sz w:val="24"/>
          <w:szCs w:val="24"/>
        </w:rPr>
        <w:t>根据承办部门、鉴定部门和相关部门的意见；</w:t>
      </w:r>
    </w:p>
    <w:p>
      <w:pPr>
        <w:rPr>
          <w:rFonts w:hint="eastAsia" w:hAnsi="宋体" w:cs="宋体"/>
          <w:color w:val="auto"/>
          <w:kern w:val="0"/>
          <w:sz w:val="24"/>
          <w:szCs w:val="24"/>
        </w:rPr>
      </w:pPr>
      <w:r>
        <w:rPr>
          <w:rFonts w:hint="eastAsia"/>
          <w:color w:val="auto"/>
          <w:sz w:val="24"/>
          <w:szCs w:val="24"/>
        </w:rPr>
        <w:t>4、《浙江省历史文化名城保护条例》中的法律责任依照上位法。</w:t>
      </w:r>
      <w:r>
        <w:rPr>
          <w:rFonts w:hint="eastAsia" w:hAnsi="宋体" w:cs="宋体"/>
          <w:color w:val="auto"/>
          <w:kern w:val="0"/>
          <w:sz w:val="24"/>
          <w:szCs w:val="24"/>
        </w:rPr>
        <w:t xml:space="preserve">                                     </w:t>
      </w:r>
    </w:p>
    <w:sectPr>
      <w:footerReference r:id="rId3" w:type="default"/>
      <w:footerReference r:id="rId4" w:type="even"/>
      <w:pgSz w:w="16838" w:h="11906" w:orient="landscape"/>
      <w:pgMar w:top="1134" w:right="1418" w:bottom="1588"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03DAD"/>
    <w:rsid w:val="19260C4E"/>
    <w:rsid w:val="1A6B191A"/>
    <w:rsid w:val="2BF80963"/>
    <w:rsid w:val="6AAC4082"/>
    <w:rsid w:val="711E50EE"/>
    <w:rsid w:val="74015356"/>
    <w:rsid w:val="7CAE432E"/>
    <w:rsid w:val="7F57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18030" w:eastAsia="仿宋_GB2312" w:cs="宋体-18030"/>
      <w:color w:val="000000"/>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2024-03-15T02:07:01Z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