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附件1</w:t>
      </w:r>
    </w:p>
    <w:p>
      <w:pPr>
        <w:widowControl w:val="0"/>
        <w:spacing w:line="60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歌山镇</w:t>
      </w:r>
      <w:r>
        <w:rPr>
          <w:rFonts w:hint="eastAsia" w:ascii="宋体" w:hAnsi="宋体" w:cs="宋体"/>
          <w:sz w:val="44"/>
          <w:szCs w:val="44"/>
        </w:rPr>
        <w:t>党委规范性文件合法性审查目录清单</w:t>
      </w:r>
    </w:p>
    <w:tbl>
      <w:tblPr>
        <w:tblStyle w:val="5"/>
        <w:tblpPr w:leftFromText="180" w:rightFromText="180" w:vertAnchor="text" w:horzAnchor="page" w:tblpX="1415" w:tblpY="640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一、正  面  清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    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央纪律检查委员会、中央各部门和省、自治区、直辖市党委在履行职责过程中形成的具有普遍约束力、可以反复适用的决议、决定、意见、通知等文件，包括贯彻执行中央决策部署、指导推动经济社会发展、涉及人民群众切身利益、加强和改进党的建设等方面的重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二、负  面  清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    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人事调整、内部机构设置、表彰决定方面的文件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请示、报告、会议活动通知、会议纪要、领导讲话、情况通报、工作要点、工作总结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机关内部工作制度和工作方案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其他不具有普遍约束力、不可反复适用的文件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E02BB"/>
    <w:rsid w:val="618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2021-01-05T06:42:00Z</dcterms:created>
  <dc:creator>杜瑶瑶</dc:creator>
  <cp:lastModifiedBy>杜瑶瑶</cp:lastModifiedBy>
  <dcterms:modified xsi:type="dcterms:W3CDTF">2021-01-05T06:42:34Z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