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仿宋_GB2312" w:hAnsi="仿宋_GB2312" w:eastAsia="仿宋_GB2312" w:cs="仿宋_GB2312"/>
          <w:b/>
          <w:bCs/>
          <w:lang w:eastAsia="zh-CN"/>
        </w:rPr>
      </w:pPr>
      <w:r>
        <w:rPr>
          <w:rFonts w:hint="eastAsia" w:ascii="仿宋_GB2312" w:hAnsi="仿宋_GB2312" w:eastAsia="仿宋_GB2312" w:cs="仿宋_GB2312"/>
          <w:sz w:val="32"/>
          <w:szCs w:val="32"/>
        </w:rPr>
        <w:t>GDYD02-2022-000</w:t>
      </w:r>
      <w:r>
        <w:rPr>
          <w:rFonts w:hint="eastAsia" w:ascii="仿宋_GB2312" w:hAnsi="仿宋_GB2312" w:eastAsia="仿宋_GB2312" w:cs="仿宋_GB2312"/>
          <w:sz w:val="32"/>
          <w:szCs w:val="32"/>
          <w:lang w:val="en-US" w:eastAsia="zh-CN"/>
        </w:rPr>
        <w:t>2</w:t>
      </w:r>
    </w:p>
    <w:p>
      <w:pPr>
        <w:tabs>
          <w:tab w:val="left" w:pos="1610"/>
        </w:tabs>
        <w:jc w:val="center"/>
        <w:rPr>
          <w:rFonts w:eastAsia="黑体"/>
          <w:b/>
          <w:bCs/>
        </w:rPr>
      </w:pPr>
    </w:p>
    <w:p>
      <w:pPr>
        <w:tabs>
          <w:tab w:val="left" w:pos="1610"/>
        </w:tabs>
        <w:jc w:val="center"/>
        <w:rPr>
          <w:rFonts w:eastAsia="黑体"/>
          <w:b/>
          <w:bCs/>
        </w:rPr>
      </w:pPr>
    </w:p>
    <w:p>
      <w:pPr>
        <w:tabs>
          <w:tab w:val="left" w:pos="1610"/>
        </w:tabs>
        <w:jc w:val="center"/>
        <w:rPr>
          <w:rFonts w:eastAsia="黑体"/>
          <w:b/>
          <w:bCs/>
        </w:rPr>
      </w:pPr>
    </w:p>
    <w:p>
      <w:pPr>
        <w:tabs>
          <w:tab w:val="left" w:pos="1610"/>
        </w:tabs>
        <w:jc w:val="center"/>
        <w:rPr>
          <w:rFonts w:eastAsia="黑体"/>
          <w:b/>
          <w:bCs/>
        </w:rPr>
      </w:pPr>
    </w:p>
    <w:p>
      <w:pPr>
        <w:tabs>
          <w:tab w:val="left" w:pos="1610"/>
        </w:tabs>
        <w:jc w:val="center"/>
        <w:rPr>
          <w:rFonts w:eastAsia="黑体"/>
          <w:b/>
          <w:bCs/>
        </w:rPr>
      </w:pPr>
    </w:p>
    <w:p>
      <w:pPr>
        <w:tabs>
          <w:tab w:val="left" w:pos="1610"/>
        </w:tabs>
        <w:jc w:val="center"/>
        <w:rPr>
          <w:rFonts w:eastAsia="黑体"/>
          <w:b/>
          <w:bCs/>
        </w:rPr>
      </w:pPr>
    </w:p>
    <w:p>
      <w:pPr>
        <w:tabs>
          <w:tab w:val="left" w:pos="1610"/>
        </w:tabs>
        <w:jc w:val="center"/>
        <w:rPr>
          <w:rFonts w:eastAsia="黑体"/>
          <w:b/>
          <w:bCs/>
        </w:rPr>
      </w:pPr>
    </w:p>
    <w:p>
      <w:pPr>
        <w:tabs>
          <w:tab w:val="left" w:pos="1610"/>
        </w:tabs>
        <w:jc w:val="center"/>
        <w:rPr>
          <w:rFonts w:eastAsia="黑体"/>
          <w:b/>
          <w:bCs/>
        </w:rPr>
      </w:pPr>
    </w:p>
    <w:p>
      <w:pPr>
        <w:tabs>
          <w:tab w:val="left" w:pos="1610"/>
        </w:tabs>
        <w:jc w:val="center"/>
        <w:rPr>
          <w:rFonts w:eastAsia="黑体"/>
          <w:b/>
          <w:bCs/>
        </w:rPr>
      </w:pPr>
    </w:p>
    <w:p>
      <w:pPr>
        <w:tabs>
          <w:tab w:val="left" w:pos="1610"/>
        </w:tabs>
        <w:spacing w:line="760" w:lineRule="exact"/>
        <w:jc w:val="center"/>
        <w:rPr>
          <w:rFonts w:eastAsia="仿宋_GB2312"/>
          <w:b/>
          <w:bCs/>
          <w:sz w:val="28"/>
        </w:rPr>
      </w:pPr>
      <w:r>
        <w:rPr>
          <w:rFonts w:hint="eastAsia" w:ascii="仿宋_GB2312" w:eastAsia="仿宋_GB2312"/>
          <w:sz w:val="32"/>
        </w:rPr>
        <w:t>东发改〔2022〕28号</w:t>
      </w:r>
    </w:p>
    <w:p>
      <w:pPr>
        <w:tabs>
          <w:tab w:val="left" w:pos="1610"/>
        </w:tabs>
        <w:rPr>
          <w:rFonts w:ascii="黑体" w:eastAsia="黑体"/>
          <w:sz w:val="44"/>
          <w:szCs w:val="44"/>
        </w:rPr>
      </w:pPr>
    </w:p>
    <w:p>
      <w:pPr>
        <w:suppressAutoHyphens w:val="0"/>
        <w:spacing w:line="560" w:lineRule="exact"/>
        <w:jc w:val="center"/>
        <w:rPr>
          <w:rFonts w:ascii="方正小标宋简体" w:hAnsi="Arial" w:eastAsia="方正小标宋简体" w:cs="Arial"/>
          <w:color w:val="000000"/>
          <w:sz w:val="44"/>
          <w:szCs w:val="44"/>
        </w:rPr>
      </w:pPr>
      <w:r>
        <w:rPr>
          <w:rFonts w:hint="eastAsia" w:ascii="方正小标宋简体" w:hAnsi="Arial" w:eastAsia="方正小标宋简体" w:cs="Arial"/>
          <w:color w:val="000000"/>
          <w:sz w:val="44"/>
          <w:szCs w:val="44"/>
        </w:rPr>
        <w:t>东阳市发展和改革局</w:t>
      </w:r>
    </w:p>
    <w:p>
      <w:pPr>
        <w:suppressAutoHyphens w:val="0"/>
        <w:spacing w:line="560" w:lineRule="exact"/>
        <w:jc w:val="center"/>
        <w:rPr>
          <w:rFonts w:ascii="方正小标宋简体" w:hAnsi="Arial" w:eastAsia="方正小标宋简体" w:cs="Arial"/>
          <w:color w:val="000000"/>
          <w:sz w:val="44"/>
          <w:szCs w:val="44"/>
        </w:rPr>
      </w:pPr>
      <w:r>
        <w:rPr>
          <w:rFonts w:hint="eastAsia" w:ascii="方正小标宋简体" w:hAnsi="Arial" w:eastAsia="方正小标宋简体" w:cs="Arial"/>
          <w:color w:val="000000"/>
          <w:sz w:val="44"/>
          <w:szCs w:val="44"/>
        </w:rPr>
        <w:t>关于印发《关于进一步加快东阳市光伏产业发展和促进节能降碳的实施意见》的通知</w:t>
      </w:r>
    </w:p>
    <w:p>
      <w:pPr>
        <w:pStyle w:val="2"/>
        <w:rPr>
          <w:rFonts w:ascii="仿宋_GB2312" w:hAnsi="仿宋_GB2312" w:eastAsia="仿宋_GB2312" w:cs="仿宋_GB2312"/>
          <w:sz w:val="32"/>
          <w:szCs w:val="32"/>
        </w:rPr>
      </w:pPr>
    </w:p>
    <w:p>
      <w:pPr>
        <w:suppressAutoHyphens w:val="0"/>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各镇、乡人民政府，各街道办事处，市</w:t>
      </w:r>
      <w:r>
        <w:rPr>
          <w:rFonts w:hint="eastAsia" w:ascii="仿宋_GB2312" w:hAnsi="仿宋_GB2312" w:eastAsia="仿宋_GB2312" w:cs="仿宋_GB2312"/>
          <w:color w:val="000000"/>
          <w:sz w:val="32"/>
          <w:szCs w:val="32"/>
          <w:lang w:eastAsia="zh-CN"/>
        </w:rPr>
        <w:t>政</w:t>
      </w:r>
      <w:bookmarkStart w:id="0" w:name="_GoBack"/>
      <w:bookmarkEnd w:id="0"/>
      <w:r>
        <w:rPr>
          <w:rFonts w:hint="eastAsia" w:ascii="仿宋_GB2312" w:hAnsi="仿宋_GB2312" w:eastAsia="仿宋_GB2312" w:cs="仿宋_GB2312"/>
          <w:color w:val="000000"/>
          <w:sz w:val="32"/>
          <w:szCs w:val="32"/>
        </w:rPr>
        <w:t>府各部门：</w:t>
      </w:r>
    </w:p>
    <w:p>
      <w:pPr>
        <w:suppressAutoHyphens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《关于进一步加快东阳市光伏产业发展和促进节能降碳的实施意见》已经市十六届政府第十九次常务会议研究同意，现印发给你们，请认真贯彻执行。</w:t>
      </w: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东阳市发展和改革局</w:t>
      </w:r>
    </w:p>
    <w:p>
      <w:pPr>
        <w:wordWrap w:val="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2022年11月11日 </w:t>
      </w:r>
    </w:p>
    <w:p>
      <w:pPr>
        <w:pStyle w:val="2"/>
        <w:rPr>
          <w:rFonts w:ascii="仿宋_GB2312" w:hAnsi="仿宋_GB2312" w:eastAsia="仿宋_GB2312" w:cs="仿宋_GB2312"/>
          <w:sz w:val="32"/>
          <w:szCs w:val="32"/>
        </w:rPr>
      </w:pPr>
    </w:p>
    <w:p>
      <w:r>
        <w:rPr>
          <w:rFonts w:hint="eastAsia" w:ascii="仿宋_GB2312" w:hAnsi="仿宋_GB2312" w:eastAsia="仿宋_GB2312" w:cs="仿宋_GB2312"/>
          <w:sz w:val="32"/>
          <w:szCs w:val="32"/>
        </w:rPr>
        <w:t>（此件公开发布）</w:t>
      </w:r>
    </w:p>
    <w:p>
      <w:pPr>
        <w:widowControl/>
        <w:spacing w:line="560" w:lineRule="exact"/>
        <w:jc w:val="center"/>
        <w:rPr>
          <w:rFonts w:hint="eastAsia" w:ascii="黑体" w:hAnsi="黑体" w:eastAsia="黑体" w:cs="仿宋_GB2312"/>
          <w:color w:val="000000"/>
          <w:kern w:val="0"/>
          <w:sz w:val="44"/>
          <w:szCs w:val="44"/>
          <w:lang w:bidi="ar"/>
        </w:rPr>
      </w:pPr>
      <w:r>
        <w:rPr>
          <w:rFonts w:hint="eastAsia" w:ascii="黑体" w:hAnsi="黑体" w:eastAsia="黑体" w:cs="仿宋_GB2312"/>
          <w:color w:val="000000"/>
          <w:sz w:val="44"/>
          <w:szCs w:val="44"/>
        </w:rPr>
        <w:t>关于</w:t>
      </w:r>
      <w:r>
        <w:rPr>
          <w:rFonts w:hint="eastAsia" w:ascii="黑体" w:hAnsi="黑体" w:eastAsia="黑体" w:cs="仿宋_GB2312"/>
          <w:color w:val="000000"/>
          <w:kern w:val="0"/>
          <w:sz w:val="44"/>
          <w:szCs w:val="44"/>
          <w:lang w:bidi="ar"/>
        </w:rPr>
        <w:t>进一步加快东阳市光伏产业发展</w:t>
      </w:r>
    </w:p>
    <w:p>
      <w:pPr>
        <w:widowControl/>
        <w:spacing w:line="560" w:lineRule="exact"/>
        <w:jc w:val="center"/>
        <w:rPr>
          <w:rFonts w:ascii="黑体" w:hAnsi="黑体" w:eastAsia="黑体" w:cs="仿宋_GB2312"/>
          <w:color w:val="000000"/>
          <w:kern w:val="0"/>
          <w:sz w:val="44"/>
          <w:szCs w:val="44"/>
          <w:lang w:bidi="ar"/>
        </w:rPr>
      </w:pPr>
      <w:r>
        <w:rPr>
          <w:rFonts w:hint="eastAsia" w:ascii="黑体" w:hAnsi="黑体" w:eastAsia="黑体" w:cs="仿宋_GB2312"/>
          <w:color w:val="000000"/>
          <w:kern w:val="0"/>
          <w:sz w:val="44"/>
          <w:szCs w:val="44"/>
          <w:lang w:bidi="ar"/>
        </w:rPr>
        <w:t>和促进节能降碳的实施意见</w:t>
      </w:r>
    </w:p>
    <w:p>
      <w:pPr>
        <w:pStyle w:val="2"/>
        <w:spacing w:line="560" w:lineRule="exact"/>
      </w:pP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为加快推进东阳市光伏产业发展，着力提高电力自给能力，积极引导企业走绿色发展、绿色制造之路，全面推动节能低碳型社会建设，根据《省发展改革委 省能源局关于印发&lt;浙江省可再生能源发展“十四五”规划&gt;的通知》(浙发改能源〔2021〕152号)、《省发展改革委 省能源局关于印发&lt;浙江省节能降耗和能源资源优化配置“十四五”规划&gt;的通知》(浙发改规划〔2021〕209号)文件精神，结合我市实际制定本实施意见。</w:t>
      </w:r>
    </w:p>
    <w:p>
      <w:pPr>
        <w:pStyle w:val="3"/>
        <w:numPr>
          <w:ilvl w:val="0"/>
          <w:numId w:val="1"/>
        </w:numPr>
        <w:spacing w:line="600"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总体目标</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到2025年底，全市累计光伏装机300兆瓦以上，其中2022年新增装机40兆瓦以上。全面完成上级下达的“十四五”节能降碳目标任务。</w:t>
      </w:r>
    </w:p>
    <w:p>
      <w:pPr>
        <w:pStyle w:val="3"/>
        <w:numPr>
          <w:ilvl w:val="0"/>
          <w:numId w:val="1"/>
        </w:numPr>
        <w:spacing w:line="600"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实施内容</w:t>
      </w:r>
    </w:p>
    <w:p>
      <w:pPr>
        <w:pStyle w:val="3"/>
        <w:numPr>
          <w:ilvl w:val="0"/>
          <w:numId w:val="2"/>
        </w:numPr>
        <w:spacing w:line="600"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全面推进“光伏+”工程</w:t>
      </w:r>
    </w:p>
    <w:p>
      <w:pPr>
        <w:pStyle w:val="3"/>
        <w:spacing w:line="600"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1.“光伏+”工业领域</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现有年综合能耗超过1000吨标煤且具备光伏安装条件的企业（项目），鼓励配套建设光伏。新建厂房及配套用房或者老旧产房升级改造，按照“宜建尽建”的原则进行光伏开发利用。</w:t>
      </w:r>
    </w:p>
    <w:p>
      <w:pPr>
        <w:pStyle w:val="3"/>
        <w:spacing w:line="600"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2.“光伏+”公共建筑</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公共建筑应充分发挥光伏建设示范引领作用。各政府机关、事业单位、公立学校、公立医院、国有企业等公共建筑屋顶，适合安装光伏的，鼓励应装尽装。</w:t>
      </w:r>
    </w:p>
    <w:p>
      <w:pPr>
        <w:pStyle w:val="3"/>
        <w:spacing w:line="600"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3.“光伏+”商业领域</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适合安装光伏的商业综合体、大型超市、宾馆、餐饮、影院、剧院、仓储物流园区、商务写字楼等各类商业建筑屋顶，鼓励应装尽装。</w:t>
      </w:r>
    </w:p>
    <w:p>
      <w:pPr>
        <w:pStyle w:val="3"/>
        <w:spacing w:line="600"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4.“光伏+”居民领域</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加快清洁能源在农村普及与发展，鼓励在既有居住建筑（含老旧小区）及其公共配套设施建筑屋顶建设光伏设施；鼓励在村委会、经济合作社、文化大礼堂等大楼屋顶建设光伏设施。鼓励村民利用自建房屋顶建设光伏设施。</w:t>
      </w:r>
    </w:p>
    <w:p>
      <w:pPr>
        <w:pStyle w:val="3"/>
        <w:spacing w:line="600"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5.加大财政补助力度</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设立专项资金。对2022年1月1日至2025年12月31日期间建成，符合区块规划、技术规范并纳入市级低碳数据库的光伏发电项目，根据实际发电量按0.11元/千瓦时给予补助，连续补助3年，每年发放一次。</w:t>
      </w:r>
    </w:p>
    <w:p>
      <w:pPr>
        <w:pStyle w:val="3"/>
        <w:spacing w:line="600"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（二）开展规上工业企业节电竞赛活动</w:t>
      </w:r>
    </w:p>
    <w:p>
      <w:pPr>
        <w:pStyle w:val="3"/>
        <w:spacing w:line="600" w:lineRule="exact"/>
        <w:ind w:firstLine="640"/>
      </w:pPr>
      <w:r>
        <w:rPr>
          <w:rFonts w:hint="eastAsia" w:ascii="仿宋_GB2312" w:hAnsi="仿宋_GB2312" w:eastAsia="仿宋_GB2312" w:cs="仿宋_GB2312"/>
          <w:sz w:val="32"/>
          <w:szCs w:val="32"/>
        </w:rPr>
        <w:t>对2022年1月1日至2025年12月31日期间，在规上工业企业中开展节电竞赛活动。按万元综合贡献电耗降低率、综合贡献绝对值增量、产值增量三项指标进行评比（用电量以供电公司数据为准、产值以统计局数据为准）。综合得分前5名的企业，每家给予20万元奖励；第6至15名的企业，每家给予10万元奖励。</w:t>
      </w:r>
    </w:p>
    <w:p>
      <w:pPr>
        <w:pStyle w:val="3"/>
        <w:spacing w:line="600" w:lineRule="exact"/>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（三）加快推进新能源汽车公共充换电基础设施建设</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对2022年1月1日至2025年12月31日期间，在歌山镇、湖溪镇、画水镇、千祥镇、虎鹿镇、东阳江镇、马宅镇、佐村镇、三单乡建成并投运的快速公共充电桩按额定功率每个给予100元/千瓦的一次性补助，最高补助不超过15000元。上级财政如有专项补助资金，标准高于100元/千瓦的，按高给予补助；标准低于100元/千瓦的，不足部分由市财政予以补足，但不重复进行补助。国企单位投运的快速公共充电桩只享受上级财政专项补助，市财政不予另行补助。</w:t>
      </w:r>
    </w:p>
    <w:p>
      <w:pPr>
        <w:pStyle w:val="3"/>
        <w:numPr>
          <w:ilvl w:val="0"/>
          <w:numId w:val="1"/>
        </w:numPr>
        <w:spacing w:line="600"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保障措施</w:t>
      </w:r>
    </w:p>
    <w:p>
      <w:pPr>
        <w:widowControl/>
        <w:spacing w:line="600" w:lineRule="exact"/>
        <w:ind w:firstLine="642" w:firstLineChars="200"/>
        <w:rPr>
          <w:rFonts w:ascii="仿宋_GB2312" w:hAnsi="仿宋_GB2312" w:eastAsia="仿宋_GB2312" w:cs="仿宋_GB2312"/>
          <w:kern w:val="0"/>
          <w:sz w:val="32"/>
          <w:szCs w:val="32"/>
          <w:lang w:val="en" w:bidi="ar"/>
        </w:rPr>
      </w:pPr>
      <w:r>
        <w:rPr>
          <w:rFonts w:hint="eastAsia" w:ascii="仿宋_GB2312" w:hAnsi="仿宋_GB2312" w:eastAsia="仿宋_GB2312" w:cs="仿宋_GB2312"/>
          <w:b/>
          <w:bCs/>
          <w:kern w:val="0"/>
          <w:sz w:val="32"/>
          <w:szCs w:val="32"/>
          <w:lang w:bidi="ar"/>
        </w:rPr>
        <w:t>（一）加强组织领导。</w:t>
      </w:r>
      <w:r>
        <w:rPr>
          <w:rFonts w:hint="eastAsia" w:ascii="仿宋_GB2312" w:hAnsi="仿宋_GB2312" w:eastAsia="仿宋_GB2312" w:cs="仿宋_GB2312"/>
          <w:kern w:val="0"/>
          <w:sz w:val="32"/>
          <w:szCs w:val="32"/>
          <w:lang w:val="en" w:bidi="ar"/>
        </w:rPr>
        <w:t>市碳达峰碳中和工作领导小组统一领导全市节能降碳和可再生能源发展工作，统筹指导全市光伏发电项目建设和节能降碳工作。领导小组下设办公室，设在市发改局，负责领导小组日常工作。</w:t>
      </w:r>
    </w:p>
    <w:p>
      <w:pPr>
        <w:widowControl/>
        <w:spacing w:line="600" w:lineRule="exact"/>
        <w:ind w:firstLine="643"/>
      </w:pPr>
      <w:r>
        <w:rPr>
          <w:rFonts w:hint="eastAsia" w:ascii="仿宋_GB2312" w:hAnsi="仿宋_GB2312" w:eastAsia="仿宋_GB2312" w:cs="仿宋_GB2312"/>
          <w:b/>
          <w:bCs/>
          <w:kern w:val="0"/>
          <w:sz w:val="32"/>
          <w:szCs w:val="32"/>
          <w:lang w:val="en" w:bidi="ar"/>
        </w:rPr>
        <w:t>（二）加快电力消纳能力建设。</w:t>
      </w:r>
      <w:r>
        <w:rPr>
          <w:rFonts w:hint="eastAsia" w:ascii="仿宋_GB2312" w:hAnsi="仿宋_GB2312" w:eastAsia="仿宋_GB2312" w:cs="仿宋_GB2312"/>
          <w:kern w:val="0"/>
          <w:sz w:val="32"/>
          <w:szCs w:val="32"/>
          <w:lang w:val="en" w:bidi="ar"/>
        </w:rPr>
        <w:t>根据光伏发电系统接入需求，市供电公司</w:t>
      </w:r>
      <w:r>
        <w:rPr>
          <w:rFonts w:hint="eastAsia" w:ascii="仿宋_GB2312" w:hAnsi="仿宋_GB2312" w:eastAsia="仿宋_GB2312" w:cs="仿宋_GB2312"/>
          <w:kern w:val="0"/>
          <w:sz w:val="32"/>
          <w:szCs w:val="32"/>
          <w:lang w:bidi="ar"/>
        </w:rPr>
        <w:t>应</w:t>
      </w:r>
      <w:r>
        <w:rPr>
          <w:rFonts w:hint="eastAsia" w:ascii="仿宋_GB2312" w:hAnsi="仿宋_GB2312" w:eastAsia="仿宋_GB2312" w:cs="仿宋_GB2312"/>
          <w:kern w:val="0"/>
          <w:sz w:val="32"/>
          <w:szCs w:val="32"/>
          <w:lang w:val="en" w:bidi="ar"/>
        </w:rPr>
        <w:t>提前规划建设电网设施，</w:t>
      </w:r>
      <w:r>
        <w:rPr>
          <w:rFonts w:ascii="仿宋_GB2312" w:hAnsi="仿宋_GB2312" w:eastAsia="仿宋_GB2312" w:cs="仿宋_GB2312"/>
          <w:kern w:val="0"/>
          <w:sz w:val="32"/>
          <w:szCs w:val="32"/>
        </w:rPr>
        <w:t>优化区域发展布局</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 w:bidi="ar"/>
        </w:rPr>
        <w:t>加强对配套电网的升级改造，切实保障分布式光伏发电项目接入需求，</w:t>
      </w:r>
      <w:r>
        <w:rPr>
          <w:rFonts w:hint="eastAsia" w:ascii="仿宋_GB2312" w:hAnsi="仿宋_GB2312" w:eastAsia="仿宋_GB2312" w:cs="仿宋_GB2312"/>
          <w:kern w:val="0"/>
          <w:sz w:val="32"/>
          <w:szCs w:val="32"/>
        </w:rPr>
        <w:t>最大</w:t>
      </w:r>
      <w:r>
        <w:rPr>
          <w:rFonts w:ascii="仿宋_GB2312" w:hAnsi="仿宋_GB2312" w:eastAsia="仿宋_GB2312" w:cs="仿宋_GB2312"/>
          <w:kern w:val="0"/>
          <w:sz w:val="32"/>
          <w:szCs w:val="32"/>
        </w:rPr>
        <w:t>程度</w:t>
      </w:r>
      <w:r>
        <w:rPr>
          <w:rFonts w:hint="eastAsia" w:ascii="仿宋_GB2312" w:hAnsi="仿宋_GB2312" w:eastAsia="仿宋_GB2312" w:cs="仿宋_GB2312"/>
          <w:kern w:val="0"/>
          <w:sz w:val="32"/>
          <w:szCs w:val="32"/>
        </w:rPr>
        <w:t>实现应接尽接和本地消纳。</w:t>
      </w:r>
    </w:p>
    <w:p>
      <w:pPr>
        <w:pStyle w:val="3"/>
        <w:spacing w:line="600" w:lineRule="exact"/>
        <w:ind w:firstLine="643"/>
        <w:rPr>
          <w:rFonts w:ascii="仿宋_GB2312" w:hAnsi="仿宋_GB2312" w:eastAsia="仿宋_GB2312" w:cs="仿宋_GB2312"/>
          <w:kern w:val="0"/>
          <w:sz w:val="32"/>
          <w:szCs w:val="32"/>
          <w:lang w:bidi="ar"/>
        </w:rPr>
      </w:pPr>
      <w:r>
        <w:rPr>
          <w:rFonts w:hint="eastAsia" w:ascii="仿宋_GB2312" w:hAnsi="仿宋_GB2312" w:eastAsia="仿宋_GB2312" w:cs="仿宋_GB2312"/>
          <w:b/>
          <w:bCs/>
          <w:sz w:val="32"/>
          <w:szCs w:val="32"/>
        </w:rPr>
        <w:t>（三）加大金融支持。</w:t>
      </w:r>
      <w:r>
        <w:rPr>
          <w:rFonts w:hint="eastAsia" w:ascii="仿宋_GB2312" w:hAnsi="仿宋_GB2312" w:eastAsia="仿宋_GB2312" w:cs="仿宋_GB2312"/>
          <w:kern w:val="0"/>
          <w:sz w:val="32"/>
          <w:szCs w:val="32"/>
          <w:lang w:bidi="ar"/>
        </w:rPr>
        <w:t>鼓励金融机构为光伏项目和节能降碳项目提供贷款利率优惠，引导金融机构加大对光伏应用和节能减碳项目的绿色信贷支持。</w:t>
      </w:r>
    </w:p>
    <w:p>
      <w:pPr>
        <w:pStyle w:val="3"/>
        <w:spacing w:line="600" w:lineRule="exact"/>
        <w:ind w:firstLine="643"/>
        <w:rPr>
          <w:rFonts w:ascii="仿宋_GB2312" w:hAnsi="仿宋_GB2312" w:eastAsia="仿宋_GB2312" w:cs="仿宋_GB2312"/>
          <w:kern w:val="0"/>
          <w:sz w:val="32"/>
          <w:szCs w:val="32"/>
          <w:lang w:bidi="ar"/>
        </w:rPr>
      </w:pPr>
      <w:r>
        <w:rPr>
          <w:rFonts w:hint="eastAsia" w:ascii="仿宋_GB2312" w:hAnsi="仿宋_GB2312" w:eastAsia="仿宋_GB2312" w:cs="仿宋_GB2312"/>
          <w:b/>
          <w:bCs/>
          <w:sz w:val="32"/>
          <w:szCs w:val="32"/>
        </w:rPr>
        <w:t>（四）加强宣传引导。</w:t>
      </w:r>
      <w:r>
        <w:rPr>
          <w:rFonts w:hint="eastAsia" w:ascii="仿宋_GB2312" w:hAnsi="仿宋_GB2312" w:eastAsia="仿宋_GB2312" w:cs="仿宋_GB2312"/>
          <w:kern w:val="0"/>
          <w:sz w:val="32"/>
          <w:szCs w:val="32"/>
          <w:lang w:bidi="ar"/>
        </w:rPr>
        <w:t>充分利用报纸、电视、网络等各种媒体，全方位、多角度、立体式开展光伏建设和节能减碳的主题宣传活动，营造浓厚的社会氛围，激发各类社会主体投资光伏发电和节能减碳项目的积极性。</w:t>
      </w:r>
    </w:p>
    <w:p>
      <w:pPr>
        <w:pStyle w:val="3"/>
        <w:spacing w:line="600" w:lineRule="exact"/>
        <w:ind w:firstLine="640"/>
        <w:rPr>
          <w:rFonts w:hint="eastAsia" w:ascii="仿宋_GB2312" w:hAnsi="仿宋_GB2312" w:eastAsia="仿宋_GB2312" w:cs="仿宋_GB2312"/>
          <w:sz w:val="32"/>
          <w:szCs w:val="32"/>
          <w:shd w:val="clear" w:color="auto" w:fill="auto"/>
        </w:rPr>
      </w:pPr>
    </w:p>
    <w:p>
      <w:pPr>
        <w:pStyle w:val="3"/>
        <w:spacing w:line="600" w:lineRule="exact"/>
        <w:ind w:firstLine="640"/>
        <w:rPr>
          <w:rFonts w:hint="eastAsia" w:ascii="仿宋_GB2312" w:hAnsi="仿宋_GB2312" w:eastAsia="仿宋_GB2312" w:cs="仿宋_GB2312"/>
          <w:sz w:val="32"/>
          <w:szCs w:val="32"/>
          <w:shd w:val="clear" w:color="auto" w:fill="auto"/>
        </w:rPr>
      </w:pPr>
    </w:p>
    <w:p>
      <w:pPr>
        <w:pStyle w:val="3"/>
        <w:spacing w:line="600" w:lineRule="exact"/>
        <w:ind w:firstLine="64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本意见自</w:t>
      </w:r>
      <w:r>
        <w:rPr>
          <w:rFonts w:hint="eastAsia" w:ascii="仿宋_GB2312" w:hAnsi="仿宋_GB2312" w:eastAsia="仿宋_GB2312" w:cs="仿宋_GB2312"/>
          <w:sz w:val="32"/>
          <w:szCs w:val="32"/>
          <w:shd w:val="clear" w:color="auto" w:fill="auto"/>
          <w:lang w:val="en-US" w:eastAsia="zh-CN"/>
        </w:rPr>
        <w:t>2022</w:t>
      </w:r>
      <w:r>
        <w:rPr>
          <w:rFonts w:hint="eastAsia" w:ascii="仿宋_GB2312" w:hAnsi="仿宋_GB2312" w:eastAsia="仿宋_GB2312" w:cs="仿宋_GB2312"/>
          <w:sz w:val="32"/>
          <w:szCs w:val="32"/>
          <w:shd w:val="clear" w:color="auto" w:fill="auto"/>
        </w:rPr>
        <w:t>年</w:t>
      </w:r>
      <w:r>
        <w:rPr>
          <w:rFonts w:hint="eastAsia" w:ascii="仿宋_GB2312" w:hAnsi="仿宋_GB2312" w:eastAsia="仿宋_GB2312" w:cs="仿宋_GB2312"/>
          <w:sz w:val="32"/>
          <w:szCs w:val="32"/>
          <w:shd w:val="clear" w:color="auto" w:fill="auto"/>
          <w:lang w:val="en-US" w:eastAsia="zh-CN"/>
        </w:rPr>
        <w:t>11</w:t>
      </w:r>
      <w:r>
        <w:rPr>
          <w:rFonts w:hint="eastAsia" w:ascii="仿宋_GB2312" w:hAnsi="仿宋_GB2312" w:eastAsia="仿宋_GB2312" w:cs="仿宋_GB2312"/>
          <w:sz w:val="32"/>
          <w:szCs w:val="32"/>
          <w:shd w:val="clear" w:color="auto" w:fill="auto"/>
        </w:rPr>
        <w:t>月</w:t>
      </w:r>
      <w:r>
        <w:rPr>
          <w:rFonts w:hint="eastAsia" w:ascii="仿宋_GB2312" w:hAnsi="仿宋_GB2312" w:eastAsia="仿宋_GB2312" w:cs="仿宋_GB2312"/>
          <w:sz w:val="32"/>
          <w:szCs w:val="32"/>
          <w:shd w:val="clear" w:color="auto" w:fill="auto"/>
          <w:lang w:val="en-US" w:eastAsia="zh-CN"/>
        </w:rPr>
        <w:t>12</w:t>
      </w:r>
      <w:r>
        <w:rPr>
          <w:rFonts w:hint="eastAsia" w:ascii="仿宋_GB2312" w:hAnsi="仿宋_GB2312" w:eastAsia="仿宋_GB2312" w:cs="仿宋_GB2312"/>
          <w:sz w:val="32"/>
          <w:szCs w:val="32"/>
          <w:shd w:val="clear" w:color="auto" w:fill="auto"/>
        </w:rPr>
        <w:t>日起施行，有效期至2025年12月31日，本意见施行前我市人民政府（人民政府办公室）及其工作部门已出台的文件与本意见规定不一致的，以本意见为准。</w:t>
      </w:r>
    </w:p>
    <w:sectPr>
      <w:pgSz w:w="11906" w:h="16838"/>
      <w:pgMar w:top="1701" w:right="1797" w:bottom="1440" w:left="1797"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Liberation Sans">
    <w:altName w:val="汉仪中秀体简"/>
    <w:panose1 w:val="00000000000000000000"/>
    <w:charset w:val="00"/>
    <w:family w:val="swiss"/>
    <w:pitch w:val="default"/>
    <w:sig w:usb0="00000000" w:usb1="00000000" w:usb2="00000000" w:usb3="00000000" w:csb0="6000009F" w:csb1="DFD70000"/>
  </w:font>
  <w:font w:name="Noto Sans CJK SC Regular">
    <w:panose1 w:val="020B0500000000000000"/>
    <w:charset w:val="86"/>
    <w:family w:val="auto"/>
    <w:pitch w:val="default"/>
    <w:sig w:usb0="30000003" w:usb1="2BDF3C10" w:usb2="00000016" w:usb3="00000000" w:csb0="602E0107"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汉仪中秀体简">
    <w:panose1 w:val="00020600040101010101"/>
    <w:charset w:val="86"/>
    <w:family w:val="auto"/>
    <w:pitch w:val="default"/>
    <w:sig w:usb0="A00002BF" w:usb1="1ACF7CFA" w:usb2="00000016"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C94C95"/>
    <w:multiLevelType w:val="singleLevel"/>
    <w:tmpl w:val="D1C94C95"/>
    <w:lvl w:ilvl="0" w:tentative="0">
      <w:start w:val="1"/>
      <w:numFmt w:val="chineseCounting"/>
      <w:suff w:val="nothing"/>
      <w:lvlText w:val="%1、"/>
      <w:lvlJc w:val="left"/>
      <w:rPr>
        <w:rFonts w:hint="eastAsia"/>
      </w:rPr>
    </w:lvl>
  </w:abstractNum>
  <w:abstractNum w:abstractNumId="1">
    <w:nsid w:val="78E35804"/>
    <w:multiLevelType w:val="singleLevel"/>
    <w:tmpl w:val="78E3580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
  <w:drawingGridVerticalSpacing w:val="1"/>
  <w:displayHorizontalDrawingGridEvery w:val="0"/>
  <w:displayVerticalDrawingGridEvery w:val="0"/>
  <w:doNotUseMarginsForDrawingGridOrigin w:val="true"/>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mMmIxZjJhZjNmMWE1OTg1ZmIyNmQxOTI1MGZlZTYifQ=="/>
  </w:docVars>
  <w:rsids>
    <w:rsidRoot w:val="00855D6D"/>
    <w:rsid w:val="000D1015"/>
    <w:rsid w:val="00311F3B"/>
    <w:rsid w:val="00855D6D"/>
    <w:rsid w:val="00AD028C"/>
    <w:rsid w:val="00B42E9E"/>
    <w:rsid w:val="049F12A6"/>
    <w:rsid w:val="062C2E11"/>
    <w:rsid w:val="0B160196"/>
    <w:rsid w:val="0C82159A"/>
    <w:rsid w:val="0CC3100C"/>
    <w:rsid w:val="134C36A4"/>
    <w:rsid w:val="13841E1A"/>
    <w:rsid w:val="17C63699"/>
    <w:rsid w:val="19864D35"/>
    <w:rsid w:val="19F208F1"/>
    <w:rsid w:val="1B9D8BE0"/>
    <w:rsid w:val="1BFB0EEC"/>
    <w:rsid w:val="1C541D3B"/>
    <w:rsid w:val="1D0F7A91"/>
    <w:rsid w:val="1D130F20"/>
    <w:rsid w:val="1EF7841E"/>
    <w:rsid w:val="1FE149F9"/>
    <w:rsid w:val="20E433AB"/>
    <w:rsid w:val="227A413F"/>
    <w:rsid w:val="23DD34AC"/>
    <w:rsid w:val="24CE2E19"/>
    <w:rsid w:val="25865FF7"/>
    <w:rsid w:val="259F5C41"/>
    <w:rsid w:val="27E51AE5"/>
    <w:rsid w:val="280E694F"/>
    <w:rsid w:val="2C6C14ED"/>
    <w:rsid w:val="2FEE3F6E"/>
    <w:rsid w:val="31DC5E8B"/>
    <w:rsid w:val="32BA7C67"/>
    <w:rsid w:val="3666279B"/>
    <w:rsid w:val="37F48702"/>
    <w:rsid w:val="3C3FFB71"/>
    <w:rsid w:val="3EA92146"/>
    <w:rsid w:val="3ED82C9C"/>
    <w:rsid w:val="402031A4"/>
    <w:rsid w:val="442F5FD0"/>
    <w:rsid w:val="46194906"/>
    <w:rsid w:val="48917EE1"/>
    <w:rsid w:val="4A2F5FC5"/>
    <w:rsid w:val="4BA12ACC"/>
    <w:rsid w:val="4BEB017A"/>
    <w:rsid w:val="4D1703A0"/>
    <w:rsid w:val="4EFE6AEC"/>
    <w:rsid w:val="50410FC1"/>
    <w:rsid w:val="53FF65E1"/>
    <w:rsid w:val="564A3B42"/>
    <w:rsid w:val="565B268F"/>
    <w:rsid w:val="5A2337F2"/>
    <w:rsid w:val="5D993821"/>
    <w:rsid w:val="5F3A5A37"/>
    <w:rsid w:val="5FAF6F4A"/>
    <w:rsid w:val="5FEE2257"/>
    <w:rsid w:val="60302187"/>
    <w:rsid w:val="61872BC9"/>
    <w:rsid w:val="61960506"/>
    <w:rsid w:val="658178A1"/>
    <w:rsid w:val="65F4DC05"/>
    <w:rsid w:val="66B54A9F"/>
    <w:rsid w:val="66BB60F5"/>
    <w:rsid w:val="66DB54AA"/>
    <w:rsid w:val="68096C77"/>
    <w:rsid w:val="693271F2"/>
    <w:rsid w:val="6AA829C0"/>
    <w:rsid w:val="6B7D2C66"/>
    <w:rsid w:val="6BDBE773"/>
    <w:rsid w:val="6BF7610B"/>
    <w:rsid w:val="706635FC"/>
    <w:rsid w:val="726D798F"/>
    <w:rsid w:val="750A6020"/>
    <w:rsid w:val="75A65278"/>
    <w:rsid w:val="75CB1A9A"/>
    <w:rsid w:val="75D6489D"/>
    <w:rsid w:val="75EC7DAF"/>
    <w:rsid w:val="77CBEB48"/>
    <w:rsid w:val="77D9E2E0"/>
    <w:rsid w:val="77F4F434"/>
    <w:rsid w:val="7BAFC1A6"/>
    <w:rsid w:val="7BD66998"/>
    <w:rsid w:val="7CFFDC51"/>
    <w:rsid w:val="7DDB8873"/>
    <w:rsid w:val="7DF903C1"/>
    <w:rsid w:val="7DFFC351"/>
    <w:rsid w:val="7E565404"/>
    <w:rsid w:val="7F3BD70C"/>
    <w:rsid w:val="7FB5CAFC"/>
    <w:rsid w:val="7FB6DBF0"/>
    <w:rsid w:val="7FEE136A"/>
    <w:rsid w:val="7FEE68CF"/>
    <w:rsid w:val="7FF31CFB"/>
    <w:rsid w:val="A7FF7C91"/>
    <w:rsid w:val="A7FFB86C"/>
    <w:rsid w:val="AD746E51"/>
    <w:rsid w:val="ADEF6AB7"/>
    <w:rsid w:val="B3FEA28D"/>
    <w:rsid w:val="BA7B23C6"/>
    <w:rsid w:val="BBD38026"/>
    <w:rsid w:val="DBBB00BB"/>
    <w:rsid w:val="E1FD2436"/>
    <w:rsid w:val="EC36E0A7"/>
    <w:rsid w:val="EE1EC1D6"/>
    <w:rsid w:val="EEEF4743"/>
    <w:rsid w:val="F7FE61E5"/>
    <w:rsid w:val="FA6F8506"/>
    <w:rsid w:val="FAF706A2"/>
    <w:rsid w:val="FAFFCFB6"/>
    <w:rsid w:val="FBFEBD78"/>
    <w:rsid w:val="FDBF787C"/>
    <w:rsid w:val="FF3E2EAA"/>
    <w:rsid w:val="FFDF2050"/>
    <w:rsid w:val="FFE75D21"/>
    <w:rsid w:val="FFF6D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40" w:line="276" w:lineRule="auto"/>
    </w:pPr>
  </w:style>
  <w:style w:type="paragraph" w:styleId="3">
    <w:name w:val="Normal Indent"/>
    <w:basedOn w:val="1"/>
    <w:next w:val="1"/>
    <w:qFormat/>
    <w:uiPriority w:val="0"/>
    <w:pPr>
      <w:ind w:firstLine="200" w:firstLineChars="200"/>
    </w:pPr>
  </w:style>
  <w:style w:type="paragraph" w:styleId="4">
    <w:name w:val="caption"/>
    <w:basedOn w:val="1"/>
    <w:next w:val="1"/>
    <w:qFormat/>
    <w:uiPriority w:val="0"/>
    <w:pPr>
      <w:suppressLineNumbers/>
      <w:spacing w:before="120" w:after="120"/>
    </w:pPr>
    <w:rPr>
      <w:i/>
      <w:iCs/>
      <w:sz w:val="24"/>
    </w:rPr>
  </w:style>
  <w:style w:type="paragraph" w:styleId="5">
    <w:name w:val="annotation text"/>
    <w:basedOn w:val="1"/>
    <w:qFormat/>
    <w:uiPriority w:val="0"/>
    <w:pPr>
      <w:jc w:val="left"/>
    </w:pPr>
  </w:style>
  <w:style w:type="paragraph" w:styleId="6">
    <w:name w:val="Balloon Text"/>
    <w:basedOn w:val="1"/>
    <w:link w:val="21"/>
    <w:qFormat/>
    <w:uiPriority w:val="0"/>
    <w:rPr>
      <w:sz w:val="18"/>
      <w:szCs w:val="18"/>
    </w:rPr>
  </w:style>
  <w:style w:type="paragraph" w:styleId="7">
    <w:name w:val="footer"/>
    <w:basedOn w:val="1"/>
    <w:link w:val="20"/>
    <w:qFormat/>
    <w:uiPriority w:val="0"/>
    <w:pPr>
      <w:tabs>
        <w:tab w:val="center" w:pos="4153"/>
        <w:tab w:val="right" w:pos="8306"/>
      </w:tabs>
      <w:snapToGrid w:val="0"/>
      <w:jc w:val="left"/>
    </w:pPr>
    <w:rPr>
      <w:sz w:val="18"/>
      <w:szCs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List"/>
    <w:basedOn w:val="2"/>
    <w:qFormat/>
    <w:uiPriority w:val="0"/>
  </w:style>
  <w:style w:type="paragraph" w:styleId="10">
    <w:name w:val="index 7"/>
    <w:basedOn w:val="1"/>
    <w:next w:val="1"/>
    <w:qFormat/>
    <w:uiPriority w:val="0"/>
    <w:pPr>
      <w:ind w:left="2520"/>
    </w:pPr>
  </w:style>
  <w:style w:type="paragraph" w:styleId="11">
    <w:name w:val="Normal (Web)"/>
    <w:basedOn w:val="1"/>
    <w:next w:val="10"/>
    <w:qFormat/>
    <w:uiPriority w:val="0"/>
    <w:pPr>
      <w:spacing w:before="100" w:beforeAutospacing="1" w:after="100" w:afterAutospacing="1"/>
      <w:jc w:val="left"/>
    </w:pPr>
    <w:rPr>
      <w:kern w:val="0"/>
      <w:sz w:val="24"/>
    </w:rPr>
  </w:style>
  <w:style w:type="paragraph" w:styleId="12">
    <w:name w:val="Body Text First Indent 2"/>
    <w:qFormat/>
    <w:uiPriority w:val="0"/>
    <w:pPr>
      <w:spacing w:line="540" w:lineRule="exact"/>
      <w:ind w:firstLine="200" w:firstLineChars="200"/>
      <w:jc w:val="both"/>
      <w:textAlignment w:val="baseline"/>
    </w:pPr>
    <w:rPr>
      <w:rFonts w:ascii="Calibri" w:hAnsi="Calibri" w:eastAsia="宋体" w:cs="Times New Roman"/>
      <w:color w:val="000000"/>
      <w:sz w:val="32"/>
      <w:szCs w:val="32"/>
      <w:lang w:val="en-US" w:eastAsia="zh-CN" w:bidi="ar-SA"/>
    </w:rPr>
  </w:style>
  <w:style w:type="character" w:customStyle="1" w:styleId="15">
    <w:name w:val="默认段落字体1"/>
    <w:qFormat/>
    <w:uiPriority w:val="0"/>
  </w:style>
  <w:style w:type="paragraph" w:customStyle="1" w:styleId="16">
    <w:name w:val="三级目录"/>
    <w:basedOn w:val="1"/>
    <w:qFormat/>
    <w:uiPriority w:val="0"/>
    <w:pPr>
      <w:ind w:firstLine="420" w:firstLineChars="200"/>
    </w:pPr>
    <w:rPr>
      <w:rFonts w:ascii="仿宋_GB2312" w:hAnsi="仿宋_GB2312" w:eastAsia="仿宋_GB2312"/>
    </w:rPr>
  </w:style>
  <w:style w:type="paragraph" w:customStyle="1" w:styleId="17">
    <w:name w:val="Heading"/>
    <w:basedOn w:val="1"/>
    <w:next w:val="2"/>
    <w:qFormat/>
    <w:uiPriority w:val="0"/>
    <w:pPr>
      <w:keepNext/>
      <w:spacing w:before="240" w:after="120"/>
    </w:pPr>
    <w:rPr>
      <w:rFonts w:ascii="Liberation Sans" w:hAnsi="Liberation Sans" w:eastAsia="Noto Sans CJK SC Regular" w:cs="Noto Sans CJK SC Regular"/>
      <w:sz w:val="28"/>
      <w:szCs w:val="28"/>
    </w:rPr>
  </w:style>
  <w:style w:type="paragraph" w:customStyle="1" w:styleId="18">
    <w:name w:val="Index"/>
    <w:basedOn w:val="1"/>
    <w:qFormat/>
    <w:uiPriority w:val="0"/>
    <w:pPr>
      <w:suppressLineNumbers/>
    </w:pPr>
  </w:style>
  <w:style w:type="character" w:customStyle="1" w:styleId="19">
    <w:name w:val="页眉 Char"/>
    <w:basedOn w:val="14"/>
    <w:link w:val="8"/>
    <w:qFormat/>
    <w:uiPriority w:val="0"/>
    <w:rPr>
      <w:rFonts w:ascii="Calibri" w:hAnsi="Calibri"/>
      <w:kern w:val="2"/>
      <w:sz w:val="18"/>
      <w:szCs w:val="18"/>
    </w:rPr>
  </w:style>
  <w:style w:type="character" w:customStyle="1" w:styleId="20">
    <w:name w:val="页脚 Char"/>
    <w:basedOn w:val="14"/>
    <w:link w:val="7"/>
    <w:qFormat/>
    <w:uiPriority w:val="0"/>
    <w:rPr>
      <w:rFonts w:ascii="Calibri" w:hAnsi="Calibri"/>
      <w:kern w:val="2"/>
      <w:sz w:val="18"/>
      <w:szCs w:val="18"/>
    </w:rPr>
  </w:style>
  <w:style w:type="character" w:customStyle="1" w:styleId="21">
    <w:name w:val="批注框文本 Char"/>
    <w:basedOn w:val="14"/>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290</Words>
  <Characters>1657</Characters>
  <Lines>13</Lines>
  <Paragraphs>3</Paragraphs>
  <TotalTime>49</TotalTime>
  <ScaleCrop>false</ScaleCrop>
  <LinksUpToDate>false</LinksUpToDate>
  <CharactersWithSpaces>1944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2018-12-05T17:47:00Z</dcterms:created>
  <dc:creator>uos</dc:creator>
  <cp:lastModifiedBy>uos</cp:lastModifiedBy>
  <cp:lastPrinted>2022-11-12T00:44:00Z</cp:lastPrinted>
  <dcterms:modified xsi:type="dcterms:W3CDTF">2023-09-07T16:23:21Z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41F6A8E670E2493E9C7A7A78D4F81786</vt:lpwstr>
  </property>
</Properties>
</file>