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sz w:val="44"/>
          <w:szCs w:val="44"/>
        </w:rPr>
      </w:pPr>
      <w:r>
        <w:rPr>
          <w:rFonts w:hint="eastAsia" w:ascii="宋体" w:hAnsi="宋体" w:cs="宋体"/>
          <w:sz w:val="30"/>
          <w:szCs w:val="30"/>
        </w:rPr>
        <w:t>附件3</w:t>
      </w:r>
    </w:p>
    <w:p>
      <w:pPr>
        <w:jc w:val="center"/>
        <w:rPr>
          <w:rFonts w:hint="eastAsia" w:ascii="宋体" w:hAnsi="宋体" w:cs="宋体"/>
          <w:sz w:val="44"/>
          <w:szCs w:val="44"/>
        </w:rPr>
      </w:pPr>
      <w:bookmarkStart w:id="0" w:name="_GoBack"/>
      <w:r>
        <w:rPr>
          <w:rFonts w:hint="eastAsia" w:ascii="宋体" w:hAnsi="宋体" w:cs="宋体"/>
          <w:sz w:val="44"/>
          <w:szCs w:val="44"/>
          <w:lang w:eastAsia="zh-CN"/>
        </w:rPr>
        <w:t>歌山镇</w:t>
      </w:r>
      <w:r>
        <w:rPr>
          <w:rFonts w:hint="eastAsia" w:ascii="宋体" w:hAnsi="宋体" w:cs="宋体"/>
          <w:sz w:val="44"/>
          <w:szCs w:val="44"/>
        </w:rPr>
        <w:t>重大行政决策合法性审查目录清单</w:t>
      </w:r>
    </w:p>
    <w:bookmarkEnd w:id="0"/>
    <w:tbl>
      <w:tblPr>
        <w:tblStyle w:val="3"/>
        <w:tblpPr w:leftFromText="180" w:rightFromText="180" w:vertAnchor="text" w:horzAnchor="page" w:tblpX="1415" w:tblpY="640"/>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2"/>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一、正  面  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序号</w:t>
            </w:r>
          </w:p>
        </w:tc>
        <w:tc>
          <w:tcPr>
            <w:tcW w:w="13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1</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决策机关依照法定职权，对关系本地区经济社会发展全局，社会涉及面广，与公民、法人或者其他组织利益密切相关的重大事项作出的决定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2</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经济和社会发展等方面的重要规划和重大改革措施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3</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土地管理、生态环保、水资源配置与保护等事关可持续发展的重大事项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4</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重点经济园区、集聚区布局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5</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由政府组织实施的对相关群体利益可能造成较大影响的重大建设项目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6</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社会保障、文化教育、卫生计生、社会救助、公共交通、住房保障等基本公共服务领域的重大保障性措施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7</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社会治安、安全生产、食品安全等涉及公共安全以及社会稳定方面的重大事项和措施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8</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决策机关确定的其他决策事项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2"/>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二、负  面  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序号</w:t>
            </w:r>
          </w:p>
        </w:tc>
        <w:tc>
          <w:tcPr>
            <w:tcW w:w="13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1</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突发事件应对的事项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2</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城乡规划的事项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3</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土地利用总体规划的事项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4</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土地和房屋的征收与补偿的事项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5</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政府定价的事项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6</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地方标准制定的事项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widowControl/>
              <w:jc w:val="center"/>
              <w:rPr>
                <w:rFonts w:hint="eastAsia" w:ascii="仿宋" w:hAnsi="仿宋" w:eastAsia="仿宋" w:cs="仿宋"/>
                <w:sz w:val="32"/>
                <w:szCs w:val="32"/>
              </w:rPr>
            </w:pPr>
            <w:r>
              <w:rPr>
                <w:rFonts w:hint="eastAsia" w:ascii="仿宋" w:hAnsi="仿宋" w:eastAsia="仿宋" w:cs="仿宋"/>
                <w:sz w:val="32"/>
                <w:szCs w:val="32"/>
              </w:rPr>
              <w:t>7</w:t>
            </w:r>
          </w:p>
        </w:tc>
        <w:tc>
          <w:tcPr>
            <w:tcW w:w="13087" w:type="dxa"/>
            <w:noWrap w:val="0"/>
            <w:vAlign w:val="top"/>
          </w:tcPr>
          <w:p>
            <w:pPr>
              <w:widowControl/>
              <w:rPr>
                <w:rFonts w:hint="eastAsia" w:ascii="仿宋" w:hAnsi="仿宋" w:eastAsia="仿宋" w:cs="仿宋"/>
                <w:sz w:val="32"/>
                <w:szCs w:val="32"/>
              </w:rPr>
            </w:pPr>
            <w:r>
              <w:rPr>
                <w:rFonts w:hint="eastAsia" w:ascii="仿宋" w:hAnsi="仿宋" w:eastAsia="仿宋" w:cs="仿宋"/>
                <w:sz w:val="32"/>
                <w:szCs w:val="32"/>
              </w:rPr>
              <w:t>其他相关法律、法规另有决策程序规定的事项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3260E"/>
    <w:rsid w:val="6AC3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Calibri" w:hAnsi="Calibri" w:eastAsia="宋体" w:cs="Times New Roman"/>
      <w:kern w:val="0"/>
      <w:sz w:val="24"/>
      <w:szCs w:val="24"/>
      <w:lang w:val="en-US" w:eastAsia="zh-CN" w:bidi="ar"/>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2021-01-05T06:39:00Z</dcterms:created>
  <dc:creator>杜瑶瑶</dc:creator>
  <cp:lastModifiedBy>杜瑶瑶</cp:lastModifiedBy>
  <dcterms:modified xsi:type="dcterms:W3CDTF">2021-01-05T06:40:01Z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