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default" w:ascii="方正小标宋简体" w:eastAsia="方正小标宋简体"/>
          <w:sz w:val="24"/>
          <w:szCs w:val="24"/>
          <w:lang w:val="en-US" w:eastAsia="zh-CN"/>
        </w:rPr>
      </w:pPr>
      <w:bookmarkStart w:id="0" w:name="docTitle"/>
      <w:r>
        <w:rPr>
          <w:rFonts w:hint="eastAsia" w:ascii="方正小标宋简体" w:eastAsia="方正小标宋简体"/>
          <w:sz w:val="24"/>
          <w:szCs w:val="24"/>
          <w:lang w:val="en-US" w:eastAsia="zh-CN"/>
        </w:rPr>
        <w:t xml:space="preserve">                                        GDYD99C-2022-0001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eastAsia="华文中宋"/>
          <w:sz w:val="30"/>
        </w:rPr>
      </w:pPr>
      <w:r>
        <w:rPr>
          <w:rFonts w:hint="eastAsia" w:ascii="方正小标宋简体" w:hAnsi="方正小标宋简体" w:eastAsia="方正小标宋简体" w:cs="方正小标宋简体"/>
          <w:b w:val="0"/>
          <w:bCs w:val="0"/>
          <w:color w:val="FF0000"/>
          <w:spacing w:val="0"/>
          <w:w w:val="45"/>
          <w:sz w:val="120"/>
          <w:szCs w:val="120"/>
          <w:lang w:eastAsia="zh-CN"/>
        </w:rPr>
        <w:t>浙江省东阳市江北街道办事处文件</w:t>
      </w:r>
    </w:p>
    <w:p>
      <w:pPr>
        <w:jc w:val="center"/>
        <w:rPr>
          <w:rFonts w:hint="eastAsia" w:ascii="黑体" w:hAnsi="宋体" w:eastAsia="黑体"/>
          <w:sz w:val="36"/>
          <w:szCs w:val="36"/>
        </w:rPr>
      </w:pPr>
      <w:r>
        <w:rPr>
          <w:sz w:val="30"/>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831215</wp:posOffset>
                </wp:positionV>
                <wp:extent cx="5611495" cy="635"/>
                <wp:effectExtent l="0" t="28575" r="8255" b="46990"/>
                <wp:wrapTopAndBottom/>
                <wp:docPr id="4" name="直接连接符 4"/>
                <wp:cNvGraphicFramePr/>
                <a:graphic xmlns:a="http://schemas.openxmlformats.org/drawingml/2006/main">
                  <a:graphicData uri="http://schemas.microsoft.com/office/word/2010/wordprocessingShape">
                    <wps:wsp>
                      <wps:cNvCnPr/>
                      <wps:spPr>
                        <a:xfrm>
                          <a:off x="1019175" y="3711575"/>
                          <a:ext cx="5611495" cy="635"/>
                        </a:xfrm>
                        <a:prstGeom prst="line">
                          <a:avLst/>
                        </a:prstGeom>
                        <a:noFill/>
                        <a:ln w="57150" cap="flat" cmpd="sng" algn="ctr">
                          <a:solidFill>
                            <a:srgbClr val="FF0000"/>
                          </a:solidFill>
                          <a:prstDash val="solid"/>
                        </a:ln>
                        <a:effectLst/>
                      </wps:spPr>
                      <wps:bodyPr/>
                    </wps:wsp>
                  </a:graphicData>
                </a:graphic>
              </wp:anchor>
            </w:drawing>
          </mc:Choice>
          <mc:Fallback>
            <w:pict>
              <v:line id="_x0000_s1026" o:spid="_x0000_s1026" o:spt="20" style="position:absolute;left:0pt;margin-left:-9.9pt;margin-top:65.45pt;height:0.05pt;width:441.85pt;mso-wrap-distance-bottom:0pt;mso-wrap-distance-top:0pt;z-index:251659264;mso-width-relative:page;mso-height-relative:page;" filled="f" stroked="t" coordsize="21600,21600" o:gfxdata="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wkzLtgAAAALAQAADwAAAAAAAAABACAA&#10;AAAiAAAAZHJzL2Rvd25yZXYueG1sUEsBAhQAFAAAAAgAh07iQGxM8G3UAQAAaQMAAA4AAAAAAAAA&#10;AQAgAAAAJwEAAGRycy9lMm9Eb2MueG1sUEsFBgAAAAAGAAYAWQEAAG0FAAAAAA==&#10;">
                <v:fill on="f" focussize="0,0"/>
                <v:stroke weight="4.5pt" color="#FF0000" joinstyle="round"/>
                <v:imagedata o:title=""/>
                <o:lock v:ext="edit" aspectratio="f"/>
                <w10:wrap type="topAndBottom"/>
              </v:line>
            </w:pict>
          </mc:Fallback>
        </mc:AlternateConten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江北办</w:t>
      </w:r>
      <w:r>
        <w:rPr>
          <w:rFonts w:hint="eastAsia" w:ascii="仿宋" w:hAnsi="仿宋" w:eastAsia="仿宋" w:cs="仿宋"/>
          <w:sz w:val="32"/>
          <w:szCs w:val="32"/>
        </w:rPr>
        <w:t>〔</w:t>
      </w:r>
      <w:r>
        <w:rPr>
          <w:rFonts w:hint="eastAsia" w:ascii="仿宋" w:hAnsi="仿宋" w:eastAsia="仿宋" w:cs="仿宋"/>
          <w:sz w:val="32"/>
          <w:szCs w:val="32"/>
          <w:lang w:val="en-US" w:eastAsia="zh-CN"/>
        </w:rPr>
        <w:t>2022</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号</w:t>
      </w:r>
    </w:p>
    <w:p>
      <w:pPr>
        <w:spacing w:line="300" w:lineRule="auto"/>
        <w:jc w:val="center"/>
        <w:outlineLvl w:val="0"/>
        <w:rPr>
          <w:rFonts w:hint="eastAsia" w:ascii="华文中宋" w:hAnsi="华文中宋" w:eastAsia="华文中宋" w:cs="宋体"/>
          <w:sz w:val="44"/>
          <w:szCs w:val="44"/>
        </w:rPr>
      </w:pPr>
    </w:p>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江北街道</w:t>
      </w:r>
      <w:r>
        <w:rPr>
          <w:rFonts w:hint="eastAsia" w:ascii="方正小标宋简体" w:eastAsia="方正小标宋简体"/>
          <w:sz w:val="44"/>
          <w:szCs w:val="44"/>
        </w:rPr>
        <w:t>关于公布行政规范性文件</w:t>
      </w:r>
    </w:p>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清理结果的通知</w:t>
      </w:r>
      <w:bookmarkEnd w:id="0"/>
    </w:p>
    <w:p>
      <w:pPr>
        <w:spacing w:line="500" w:lineRule="exact"/>
        <w:ind w:firstLine="640" w:firstLineChars="200"/>
        <w:rPr>
          <w:rFonts w:eastAsia="黑体"/>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 w:hAnsi="仿宋" w:eastAsia="仿宋"/>
          <w:szCs w:val="32"/>
        </w:rPr>
      </w:pPr>
      <w:r>
        <w:rPr>
          <w:rFonts w:hint="eastAsia" w:ascii="仿宋_GB2312" w:eastAsia="仿宋_GB2312"/>
          <w:szCs w:val="32"/>
        </w:rPr>
        <w:t>各</w:t>
      </w:r>
      <w:r>
        <w:rPr>
          <w:rFonts w:hint="eastAsia" w:ascii="仿宋_GB2312" w:eastAsia="仿宋_GB2312"/>
          <w:szCs w:val="32"/>
          <w:lang w:eastAsia="zh-CN"/>
        </w:rPr>
        <w:t>社区、村、有关单位</w:t>
      </w:r>
      <w:r>
        <w:rPr>
          <w:rFonts w:ascii="仿宋" w:hAnsi="仿宋" w:eastAsia="仿宋"/>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Cs w:val="32"/>
        </w:rPr>
      </w:pPr>
      <w:r>
        <w:rPr>
          <w:rFonts w:hint="eastAsia" w:ascii="仿宋_GB2312" w:eastAsia="仿宋_GB2312"/>
          <w:szCs w:val="32"/>
        </w:rPr>
        <w:t>为推进依法行政，根据《浙江省行政规范性文件管理办法》（浙江省人民政府令第372号）等有关规定，我</w:t>
      </w:r>
      <w:r>
        <w:rPr>
          <w:rFonts w:hint="eastAsia" w:ascii="仿宋_GB2312" w:eastAsia="仿宋_GB2312"/>
          <w:szCs w:val="32"/>
          <w:lang w:eastAsia="zh-CN"/>
        </w:rPr>
        <w:t>街道</w:t>
      </w:r>
      <w:r>
        <w:rPr>
          <w:rFonts w:hint="eastAsia" w:ascii="仿宋_GB2312" w:eastAsia="仿宋_GB2312"/>
          <w:szCs w:val="32"/>
        </w:rPr>
        <w:t>在历次文件清理的基础上对20</w:t>
      </w:r>
      <w:r>
        <w:rPr>
          <w:rFonts w:hint="eastAsia" w:ascii="仿宋_GB2312" w:eastAsia="仿宋_GB2312"/>
          <w:szCs w:val="32"/>
          <w:lang w:val="en-US" w:eastAsia="zh-CN"/>
        </w:rPr>
        <w:t>21</w:t>
      </w:r>
      <w:r>
        <w:rPr>
          <w:rFonts w:hint="eastAsia" w:ascii="仿宋_GB2312" w:eastAsia="仿宋_GB2312"/>
          <w:szCs w:val="32"/>
        </w:rPr>
        <w:t>年12月31日前</w:t>
      </w:r>
      <w:r>
        <w:rPr>
          <w:rFonts w:hint="eastAsia" w:ascii="仿宋_GB2312" w:eastAsia="仿宋_GB2312"/>
          <w:szCs w:val="32"/>
          <w:lang w:eastAsia="zh-CN"/>
        </w:rPr>
        <w:t>由江北街道制定</w:t>
      </w:r>
      <w:r>
        <w:rPr>
          <w:rFonts w:hint="eastAsia" w:ascii="仿宋_GB2312" w:eastAsia="仿宋_GB2312"/>
          <w:szCs w:val="32"/>
        </w:rPr>
        <w:t>的行政规范性文件进行了清理，</w:t>
      </w:r>
      <w:r>
        <w:rPr>
          <w:rFonts w:hint="eastAsia" w:ascii="仿宋_GB2312" w:eastAsia="仿宋_GB2312"/>
          <w:szCs w:val="32"/>
          <w:lang w:eastAsia="zh-CN"/>
        </w:rPr>
        <w:t>经街道党工委、办事处同意，</w:t>
      </w:r>
      <w:r>
        <w:rPr>
          <w:rFonts w:hint="eastAsia" w:ascii="仿宋_GB2312" w:eastAsia="仿宋_GB2312"/>
          <w:szCs w:val="32"/>
        </w:rPr>
        <w:t>现将予以保留、全文废止的行政规范性文件目录予以公布</w:t>
      </w:r>
      <w:r>
        <w:rPr>
          <w:rFonts w:hint="eastAsia" w:ascii="仿宋_GB2312" w:eastAsia="仿宋_GB2312"/>
          <w:szCs w:val="32"/>
          <w:lang w:eastAsia="zh-CN"/>
        </w:rPr>
        <w:t>，请遵照执行</w:t>
      </w:r>
      <w:r>
        <w:rPr>
          <w:rFonts w:hint="eastAsia" w:ascii="仿宋_GB2312" w:eastAsia="仿宋_GB231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Cs w:val="32"/>
        </w:rPr>
      </w:pPr>
      <w:r>
        <w:rPr>
          <w:rFonts w:hint="eastAsia" w:ascii="仿宋_GB2312" w:eastAsia="仿宋_GB2312"/>
          <w:szCs w:val="32"/>
        </w:rPr>
        <w:t>附件：1.全文保留的行政规范性文件目录</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szCs w:val="32"/>
          <w:lang w:eastAsia="zh-CN"/>
        </w:rPr>
      </w:pPr>
      <w:r>
        <w:rPr>
          <w:rFonts w:hint="eastAsia" w:ascii="仿宋_GB2312" w:eastAsia="仿宋_GB2312"/>
          <w:spacing w:val="-10"/>
          <w:szCs w:val="32"/>
        </w:rPr>
        <w:t xml:space="preserve">      </w:t>
      </w:r>
      <w:r>
        <w:rPr>
          <w:rFonts w:hint="eastAsia" w:ascii="仿宋_GB2312" w:eastAsia="仿宋_GB2312"/>
          <w:szCs w:val="32"/>
        </w:rPr>
        <w:t xml:space="preserve"> </w:t>
      </w:r>
      <w:r>
        <w:rPr>
          <w:rFonts w:hint="eastAsia" w:ascii="仿宋_GB2312" w:eastAsia="仿宋_GB2312"/>
          <w:szCs w:val="32"/>
          <w:lang w:val="en-US" w:eastAsia="zh-CN"/>
        </w:rPr>
        <w:t>2</w:t>
      </w:r>
      <w:r>
        <w:rPr>
          <w:rFonts w:hint="eastAsia" w:ascii="仿宋_GB2312" w:eastAsia="仿宋_GB2312"/>
          <w:szCs w:val="32"/>
        </w:rPr>
        <w:t>.全文废止的行</w:t>
      </w:r>
      <w:r>
        <w:rPr>
          <w:rFonts w:hint="eastAsia" w:ascii="仿宋_GB2312" w:eastAsia="仿宋_GB2312"/>
          <w:spacing w:val="-10"/>
          <w:szCs w:val="32"/>
        </w:rPr>
        <w:t>政规范性文件</w:t>
      </w:r>
      <w:r>
        <w:rPr>
          <w:rFonts w:hint="eastAsia" w:ascii="仿宋_GB2312" w:eastAsia="仿宋_GB2312"/>
          <w:spacing w:val="-10"/>
          <w:szCs w:val="32"/>
          <w:lang w:eastAsia="zh-CN"/>
        </w:rPr>
        <w:t>目录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pacing w:val="-10"/>
          <w:szCs w:val="32"/>
        </w:rPr>
      </w:pPr>
      <w:r>
        <w:rPr>
          <w:rFonts w:hint="eastAsia" w:ascii="仿宋_GB2312" w:eastAsia="仿宋_GB2312"/>
          <w:spacing w:val="-10"/>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640" w:firstLine="4160" w:firstLineChars="1300"/>
        <w:textAlignment w:val="auto"/>
        <w:rPr>
          <w:rFonts w:hint="eastAsia" w:ascii="仿宋" w:hAnsi="仿宋" w:eastAsia="仿宋"/>
          <w:szCs w:val="32"/>
          <w:lang w:eastAsia="zh-CN"/>
        </w:rPr>
      </w:pPr>
      <w:r>
        <w:rPr>
          <w:rFonts w:hint="eastAsia" w:ascii="仿宋" w:hAnsi="仿宋" w:eastAsia="仿宋"/>
          <w:szCs w:val="32"/>
        </w:rPr>
        <w:t>东阳市</w:t>
      </w:r>
      <w:r>
        <w:rPr>
          <w:rFonts w:hint="eastAsia" w:ascii="仿宋" w:hAnsi="仿宋" w:eastAsia="仿宋"/>
          <w:szCs w:val="32"/>
          <w:lang w:eastAsia="zh-CN"/>
        </w:rPr>
        <w:t>江北街道办事处</w:t>
      </w:r>
    </w:p>
    <w:p>
      <w:pPr>
        <w:keepNext w:val="0"/>
        <w:keepLines w:val="0"/>
        <w:pageBreakBefore w:val="0"/>
        <w:widowControl w:val="0"/>
        <w:tabs>
          <w:tab w:val="left" w:pos="7513"/>
        </w:tabs>
        <w:kinsoku/>
        <w:wordWrap/>
        <w:overflowPunct/>
        <w:topLinePunct w:val="0"/>
        <w:autoSpaceDE/>
        <w:autoSpaceDN/>
        <w:bidi w:val="0"/>
        <w:adjustRightInd/>
        <w:snapToGrid/>
        <w:spacing w:line="540" w:lineRule="exact"/>
        <w:ind w:firstLine="4480" w:firstLineChars="1400"/>
        <w:textAlignment w:val="auto"/>
        <w:rPr>
          <w:rFonts w:hint="eastAsia" w:ascii="仿宋" w:hAnsi="仿宋" w:eastAsia="仿宋"/>
          <w:szCs w:val="32"/>
        </w:rPr>
      </w:pPr>
      <w:r>
        <w:rPr>
          <w:rFonts w:hint="eastAsia" w:ascii="仿宋" w:hAnsi="仿宋" w:eastAsia="仿宋"/>
          <w:szCs w:val="32"/>
          <w:lang w:val="en-US" w:eastAsia="zh-CN"/>
        </w:rPr>
        <w:t>2022</w:t>
      </w:r>
      <w:r>
        <w:rPr>
          <w:rFonts w:hint="eastAsia" w:ascii="仿宋" w:hAnsi="仿宋" w:eastAsia="仿宋"/>
          <w:szCs w:val="32"/>
        </w:rPr>
        <w:t>年</w:t>
      </w:r>
      <w:r>
        <w:rPr>
          <w:rFonts w:hint="eastAsia" w:ascii="仿宋" w:hAnsi="仿宋" w:eastAsia="仿宋"/>
          <w:szCs w:val="32"/>
          <w:lang w:val="en-US" w:eastAsia="zh-CN"/>
        </w:rPr>
        <w:t>03</w:t>
      </w:r>
      <w:r>
        <w:rPr>
          <w:rFonts w:hint="eastAsia" w:ascii="仿宋" w:hAnsi="仿宋" w:eastAsia="仿宋"/>
          <w:szCs w:val="32"/>
        </w:rPr>
        <w:t>月</w:t>
      </w:r>
      <w:r>
        <w:rPr>
          <w:rFonts w:hint="eastAsia" w:ascii="仿宋" w:hAnsi="仿宋" w:eastAsia="仿宋"/>
          <w:szCs w:val="32"/>
          <w:lang w:val="en-US" w:eastAsia="zh-CN"/>
        </w:rPr>
        <w:t>05</w:t>
      </w:r>
      <w:r>
        <w:rPr>
          <w:rFonts w:hint="eastAsia" w:ascii="仿宋" w:hAnsi="仿宋" w:eastAsia="仿宋"/>
          <w:szCs w:val="32"/>
        </w:rPr>
        <w:t>日</w:t>
      </w: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both"/>
        <w:textAlignment w:val="auto"/>
        <w:rPr>
          <w:rFonts w:hint="eastAsia" w:ascii="方正小标宋简体" w:hAnsi="宋体" w:eastAsia="方正小标宋简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both"/>
        <w:textAlignment w:val="auto"/>
        <w:rPr>
          <w:rFonts w:hint="default" w:ascii="方正小标宋简体" w:hAnsi="宋体" w:eastAsia="方正小标宋简体" w:cs="Times New Roman"/>
          <w:sz w:val="28"/>
          <w:szCs w:val="28"/>
          <w:lang w:val="en-US" w:eastAsia="zh-CN"/>
        </w:rPr>
      </w:pPr>
      <w:bookmarkStart w:id="1" w:name="_GoBack"/>
      <w:bookmarkEnd w:id="1"/>
      <w:r>
        <w:rPr>
          <w:rFonts w:hint="eastAsia" w:ascii="方正小标宋简体" w:hAnsi="宋体" w:eastAsia="方正小标宋简体" w:cs="Times New Roman"/>
          <w:sz w:val="28"/>
          <w:szCs w:val="28"/>
          <w:lang w:val="en-US" w:eastAsia="zh-CN"/>
        </w:rPr>
        <w:t>附件1</w:t>
      </w:r>
    </w:p>
    <w:p>
      <w:pPr>
        <w:keepNext w:val="0"/>
        <w:keepLines w:val="0"/>
        <w:pageBreakBefore w:val="0"/>
        <w:widowControl w:val="0"/>
        <w:kinsoku/>
        <w:wordWrap/>
        <w:overflowPunct/>
        <w:topLinePunct w:val="0"/>
        <w:autoSpaceDE/>
        <w:autoSpaceDN/>
        <w:bidi w:val="0"/>
        <w:adjustRightInd w:val="0"/>
        <w:snapToGrid w:val="0"/>
        <w:spacing w:after="313" w:afterLines="100" w:line="600" w:lineRule="exact"/>
        <w:jc w:val="center"/>
        <w:textAlignment w:val="auto"/>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全文保留的行政规范性文件目录（</w:t>
      </w:r>
      <w:r>
        <w:rPr>
          <w:rFonts w:hint="eastAsia" w:ascii="方正小标宋简体" w:hAnsi="宋体" w:eastAsia="方正小标宋简体" w:cs="Times New Roman"/>
          <w:sz w:val="44"/>
          <w:szCs w:val="44"/>
          <w:lang w:val="en-US" w:eastAsia="zh-CN"/>
        </w:rPr>
        <w:t>11</w:t>
      </w:r>
      <w:r>
        <w:rPr>
          <w:rFonts w:hint="eastAsia" w:ascii="方正小标宋简体" w:hAnsi="宋体" w:eastAsia="方正小标宋简体" w:cs="Times New Roman"/>
          <w:sz w:val="44"/>
          <w:szCs w:val="44"/>
        </w:rPr>
        <w:t>件）</w:t>
      </w:r>
    </w:p>
    <w:tbl>
      <w:tblPr>
        <w:tblStyle w:val="5"/>
        <w:tblW w:w="5139" w:type="pct"/>
        <w:tblInd w:w="-113" w:type="dxa"/>
        <w:tblLayout w:type="autofit"/>
        <w:tblCellMar>
          <w:top w:w="0" w:type="dxa"/>
          <w:left w:w="108" w:type="dxa"/>
          <w:bottom w:w="0" w:type="dxa"/>
          <w:right w:w="108" w:type="dxa"/>
        </w:tblCellMar>
      </w:tblPr>
      <w:tblGrid>
        <w:gridCol w:w="801"/>
        <w:gridCol w:w="5279"/>
        <w:gridCol w:w="2679"/>
      </w:tblGrid>
      <w:tr>
        <w:tblPrEx>
          <w:tblCellMar>
            <w:top w:w="0" w:type="dxa"/>
            <w:left w:w="108" w:type="dxa"/>
            <w:bottom w:w="0" w:type="dxa"/>
            <w:right w:w="108" w:type="dxa"/>
          </w:tblCellMar>
        </w:tblPrEx>
        <w:trPr>
          <w:trHeight w:val="875" w:hRule="atLeast"/>
          <w:tblHeader/>
        </w:trPr>
        <w:tc>
          <w:tcPr>
            <w:tcW w:w="4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b/>
                <w:sz w:val="28"/>
                <w:szCs w:val="28"/>
              </w:rPr>
            </w:pPr>
            <w:r>
              <w:rPr>
                <w:rFonts w:hint="eastAsia" w:ascii="仿宋_GB2312" w:hAnsi="宋体" w:eastAsia="仿宋_GB2312" w:cs="Times New Roman"/>
                <w:b/>
                <w:sz w:val="28"/>
                <w:szCs w:val="28"/>
              </w:rPr>
              <w:t>序号</w:t>
            </w:r>
          </w:p>
        </w:tc>
        <w:tc>
          <w:tcPr>
            <w:tcW w:w="3013" w:type="pc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b/>
                <w:sz w:val="28"/>
                <w:szCs w:val="28"/>
              </w:rPr>
            </w:pPr>
            <w:r>
              <w:rPr>
                <w:rFonts w:hint="eastAsia" w:ascii="仿宋_GB2312" w:hAnsi="宋体" w:eastAsia="仿宋_GB2312" w:cs="Times New Roman"/>
                <w:b/>
                <w:sz w:val="28"/>
                <w:szCs w:val="28"/>
              </w:rPr>
              <w:t>文件名称</w:t>
            </w:r>
          </w:p>
        </w:tc>
        <w:tc>
          <w:tcPr>
            <w:tcW w:w="1529" w:type="pc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b/>
                <w:sz w:val="28"/>
                <w:szCs w:val="28"/>
              </w:rPr>
            </w:pPr>
            <w:r>
              <w:rPr>
                <w:rFonts w:hint="eastAsia" w:ascii="仿宋_GB2312" w:hAnsi="宋体" w:eastAsia="仿宋_GB2312" w:cs="Times New Roman"/>
                <w:b/>
                <w:sz w:val="28"/>
                <w:szCs w:val="28"/>
              </w:rPr>
              <w:t>文  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rPr>
              <w:t>1</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rPr>
              <w:t>关于印发江北高新产业园区实施企业垃圾统一凊运和管理工作办法的通知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lang w:val="en-US" w:eastAsia="zh-CN"/>
              </w:rPr>
              <w:t>江北办[2013]16号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2</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lang w:val="en-US" w:eastAsia="zh-CN"/>
              </w:rPr>
              <w:t>关于转发《关于开展企业安全生产诚信机制建设和安全生产标准化建设相互融合推进的通知》的通知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lang w:val="en-US" w:eastAsia="zh-CN"/>
              </w:rPr>
              <w:t>江北办[2013]103号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3</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江北街道有关印发“无违建村（小区）”考核办法的通知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江北办[2014]24号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4</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关于制定创建“无违建社区”考核办法的补充规定</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江北办[2014]39号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5</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关于印发《江北街道突发公共卫生事件应急预案》的通知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江北办[2014]97号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6</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关于印发《江北街道残疾人基本服务状况和需求信息数据动态更新实施方案》的通知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江北办[2016]55号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7</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关于实施《江北街道农村集体资金、资产、资源管理办法》的通知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江北办[2017]91号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8</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关于印发《江北街道报账员管理实施意见》的通知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江北办[2018]41号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9</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关于印发《江北街道全面推行出租房屋智能化管理建设工作实施方案》的通知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江北办[2018]94号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10</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江北街道“五城同创”（创文、巩卫）分类考核办法</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江北办[2019]46号</w:t>
            </w:r>
          </w:p>
        </w:tc>
      </w:tr>
      <w:tr>
        <w:tblPrEx>
          <w:tblCellMar>
            <w:top w:w="0" w:type="dxa"/>
            <w:left w:w="108" w:type="dxa"/>
            <w:bottom w:w="0" w:type="dxa"/>
            <w:right w:w="108" w:type="dxa"/>
          </w:tblCellMar>
        </w:tblPrEx>
        <w:trPr>
          <w:trHeight w:val="96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11</w:t>
            </w:r>
          </w:p>
        </w:tc>
        <w:tc>
          <w:tcPr>
            <w:tcW w:w="301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关于公布规范性文件清理结果的通知</w:t>
            </w:r>
          </w:p>
        </w:tc>
        <w:tc>
          <w:tcPr>
            <w:tcW w:w="15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江北办[2020]7号</w:t>
            </w:r>
          </w:p>
        </w:tc>
      </w:tr>
    </w:tbl>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both"/>
        <w:textAlignment w:val="auto"/>
        <w:rPr>
          <w:rFonts w:hint="eastAsia" w:ascii="方正小标宋简体" w:hAnsi="宋体" w:eastAsia="方正小标宋简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both"/>
        <w:textAlignment w:val="auto"/>
        <w:rPr>
          <w:rFonts w:hint="eastAsia" w:ascii="方正小标宋简体" w:hAnsi="宋体" w:eastAsia="方正小标宋简体" w:cs="Times New Roman"/>
          <w:sz w:val="28"/>
          <w:szCs w:val="28"/>
          <w:lang w:val="en-US" w:eastAsia="zh-CN"/>
        </w:rPr>
      </w:pPr>
      <w:r>
        <w:rPr>
          <w:rFonts w:hint="eastAsia" w:ascii="方正小标宋简体" w:hAnsi="宋体" w:eastAsia="方正小标宋简体" w:cs="Times New Roman"/>
          <w:sz w:val="28"/>
          <w:szCs w:val="28"/>
          <w:lang w:val="en-US" w:eastAsia="zh-CN"/>
        </w:rPr>
        <w:t>附件2</w:t>
      </w: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center"/>
        <w:textAlignment w:val="auto"/>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全文废止的行政规范性文件目录（</w:t>
      </w:r>
      <w:r>
        <w:rPr>
          <w:rFonts w:hint="eastAsia" w:ascii="方正小标宋简体" w:hAnsi="宋体" w:eastAsia="方正小标宋简体" w:cs="Times New Roman"/>
          <w:sz w:val="44"/>
          <w:szCs w:val="44"/>
          <w:lang w:val="en-US" w:eastAsia="zh-CN"/>
        </w:rPr>
        <w:t>1</w:t>
      </w:r>
      <w:r>
        <w:rPr>
          <w:rFonts w:hint="eastAsia" w:ascii="方正小标宋简体" w:hAnsi="宋体" w:eastAsia="方正小标宋简体" w:cs="Times New Roman"/>
          <w:sz w:val="44"/>
          <w:szCs w:val="44"/>
        </w:rPr>
        <w:t>件）</w:t>
      </w:r>
    </w:p>
    <w:tbl>
      <w:tblPr>
        <w:tblStyle w:val="5"/>
        <w:tblW w:w="5071" w:type="pct"/>
        <w:tblInd w:w="-125" w:type="dxa"/>
        <w:tblLayout w:type="autofit"/>
        <w:tblCellMar>
          <w:top w:w="0" w:type="dxa"/>
          <w:left w:w="108" w:type="dxa"/>
          <w:bottom w:w="0" w:type="dxa"/>
          <w:right w:w="108" w:type="dxa"/>
        </w:tblCellMar>
      </w:tblPr>
      <w:tblGrid>
        <w:gridCol w:w="832"/>
        <w:gridCol w:w="5262"/>
        <w:gridCol w:w="2549"/>
      </w:tblGrid>
      <w:tr>
        <w:tblPrEx>
          <w:tblCellMar>
            <w:top w:w="0" w:type="dxa"/>
            <w:left w:w="108" w:type="dxa"/>
            <w:bottom w:w="0" w:type="dxa"/>
            <w:right w:w="108" w:type="dxa"/>
          </w:tblCellMar>
        </w:tblPrEx>
        <w:trPr>
          <w:trHeight w:val="894"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b/>
                <w:sz w:val="28"/>
                <w:szCs w:val="28"/>
              </w:rPr>
              <w:t>序号</w:t>
            </w:r>
          </w:p>
        </w:tc>
        <w:tc>
          <w:tcPr>
            <w:tcW w:w="5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b/>
                <w:sz w:val="28"/>
                <w:szCs w:val="28"/>
              </w:rPr>
              <w:t>文件名称</w:t>
            </w:r>
          </w:p>
        </w:tc>
        <w:tc>
          <w:tcPr>
            <w:tcW w:w="254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b/>
                <w:sz w:val="28"/>
                <w:szCs w:val="28"/>
              </w:rPr>
              <w:t>文  号</w:t>
            </w:r>
          </w:p>
        </w:tc>
      </w:tr>
      <w:tr>
        <w:tblPrEx>
          <w:tblCellMar>
            <w:top w:w="0" w:type="dxa"/>
            <w:left w:w="108" w:type="dxa"/>
            <w:bottom w:w="0" w:type="dxa"/>
            <w:right w:w="108" w:type="dxa"/>
          </w:tblCellMar>
        </w:tblPrEx>
        <w:trPr>
          <w:trHeight w:val="894"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1</w:t>
            </w:r>
          </w:p>
        </w:tc>
        <w:tc>
          <w:tcPr>
            <w:tcW w:w="5263"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关于严格规范江北街道村级财务报帐制度的规定</w:t>
            </w:r>
          </w:p>
        </w:tc>
        <w:tc>
          <w:tcPr>
            <w:tcW w:w="2549"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江北办[2018]42号</w:t>
            </w:r>
          </w:p>
        </w:tc>
      </w:tr>
    </w:tbl>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84E26"/>
    <w:rsid w:val="0A28532A"/>
    <w:rsid w:val="0A4376CC"/>
    <w:rsid w:val="2A684E26"/>
    <w:rsid w:val="35CF440F"/>
    <w:rsid w:val="3ACD40E2"/>
    <w:rsid w:val="408D472B"/>
    <w:rsid w:val="46941F41"/>
    <w:rsid w:val="4A933395"/>
    <w:rsid w:val="4FBA2273"/>
    <w:rsid w:val="6BC73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qFormat/>
    <w:uiPriority w:val="0"/>
    <w:pPr>
      <w:widowControl w:val="0"/>
      <w:ind w:left="-540" w:leftChars="-257" w:firstLine="42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2022-02-22T07:03:00Z</dcterms:created>
  <dc:creator>dy</dc:creator>
  <cp:lastModifiedBy>茶茶君</cp:lastModifiedBy>
  <cp:lastPrinted>2022-03-07T05:38:00Z</cp:lastPrinted>
  <dcterms:modified xsi:type="dcterms:W3CDTF">2023-02-27T02:15:32Z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D8FAE5C8EEC94862806E864D71EEF8B7</vt:lpwstr>
  </property>
</Properties>
</file>